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BEA" w:rsidRDefault="00C16989" w:rsidP="00CB6E29">
      <w:pPr>
        <w:pStyle w:val="NoSpacing"/>
        <w:jc w:val="center"/>
        <w:rPr>
          <w:rFonts w:ascii="Times New Roman Bold"/>
          <w:sz w:val="32"/>
          <w:szCs w:val="24"/>
        </w:rPr>
      </w:pPr>
      <w:r w:rsidRPr="00CB6E29">
        <w:rPr>
          <w:rFonts w:ascii="Times New Roman Bold"/>
          <w:sz w:val="32"/>
          <w:szCs w:val="24"/>
        </w:rPr>
        <w:t>Exploring</w:t>
      </w:r>
      <w:r w:rsidR="008301C5" w:rsidRPr="00CB6E29">
        <w:rPr>
          <w:rFonts w:ascii="Times New Roman Bold"/>
          <w:sz w:val="32"/>
          <w:szCs w:val="24"/>
        </w:rPr>
        <w:t xml:space="preserve"> </w:t>
      </w:r>
      <w:r w:rsidR="00101E16" w:rsidRPr="00CB6E29">
        <w:rPr>
          <w:rFonts w:ascii="Times New Roman Bold"/>
          <w:sz w:val="32"/>
          <w:szCs w:val="24"/>
        </w:rPr>
        <w:t xml:space="preserve">Consumer </w:t>
      </w:r>
      <w:proofErr w:type="spellStart"/>
      <w:r w:rsidR="00101E16" w:rsidRPr="00CB6E29">
        <w:rPr>
          <w:rFonts w:ascii="Times New Roman Bold"/>
          <w:sz w:val="32"/>
          <w:szCs w:val="24"/>
        </w:rPr>
        <w:t>Behaviour</w:t>
      </w:r>
      <w:proofErr w:type="spellEnd"/>
      <w:r w:rsidR="00101E16" w:rsidRPr="00CB6E29">
        <w:rPr>
          <w:rFonts w:ascii="Times New Roman Bold"/>
          <w:sz w:val="32"/>
          <w:szCs w:val="24"/>
        </w:rPr>
        <w:t xml:space="preserve"> t</w:t>
      </w:r>
      <w:r w:rsidR="00857DE6" w:rsidRPr="00CB6E29">
        <w:rPr>
          <w:rFonts w:ascii="Times New Roman Bold"/>
          <w:sz w:val="32"/>
          <w:szCs w:val="24"/>
        </w:rPr>
        <w:t>oward</w:t>
      </w:r>
      <w:r w:rsidR="008F25A9" w:rsidRPr="00CB6E29">
        <w:rPr>
          <w:rFonts w:ascii="Times New Roman Bold"/>
          <w:sz w:val="32"/>
          <w:szCs w:val="24"/>
        </w:rPr>
        <w:t>s Mobile Number Portability (MNP</w:t>
      </w:r>
      <w:r w:rsidR="00101E16" w:rsidRPr="00CB6E29">
        <w:rPr>
          <w:rFonts w:ascii="Times New Roman Bold"/>
          <w:sz w:val="32"/>
          <w:szCs w:val="24"/>
        </w:rPr>
        <w:t>) i</w:t>
      </w:r>
      <w:r w:rsidR="00857DE6" w:rsidRPr="00CB6E29">
        <w:rPr>
          <w:rFonts w:ascii="Times New Roman Bold"/>
          <w:sz w:val="32"/>
          <w:szCs w:val="24"/>
        </w:rPr>
        <w:t xml:space="preserve">n Ghana: </w:t>
      </w:r>
      <w:r w:rsidR="008F25A9" w:rsidRPr="00CB6E29">
        <w:rPr>
          <w:rFonts w:ascii="Times New Roman Bold"/>
          <w:sz w:val="32"/>
          <w:szCs w:val="24"/>
        </w:rPr>
        <w:t>Pursuing</w:t>
      </w:r>
      <w:r w:rsidR="00857DE6" w:rsidRPr="00CB6E29">
        <w:rPr>
          <w:rFonts w:ascii="Times New Roman Bold"/>
          <w:sz w:val="32"/>
          <w:szCs w:val="24"/>
        </w:rPr>
        <w:t xml:space="preserve"> Sustainable MNP Adoption </w:t>
      </w:r>
    </w:p>
    <w:p w:rsidR="00AD3794" w:rsidRDefault="00AD3794" w:rsidP="00CB6E29">
      <w:pPr>
        <w:pStyle w:val="NoSpacing"/>
        <w:jc w:val="center"/>
        <w:rPr>
          <w:rFonts w:ascii="Times New Roman Bold"/>
          <w:sz w:val="32"/>
          <w:szCs w:val="24"/>
        </w:rPr>
      </w:pPr>
    </w:p>
    <w:p w:rsidR="00AD3794" w:rsidRPr="002D7AAF" w:rsidRDefault="00AD3794" w:rsidP="00AD3794">
      <w:pPr>
        <w:jc w:val="center"/>
        <w:rPr>
          <w:rFonts w:ascii="Times New Roman Bold" w:eastAsia="Times New Roman Bold" w:hAnsi="Times New Roman Bold" w:cs="Times New Roman Bold"/>
        </w:rPr>
      </w:pPr>
      <w:r w:rsidRPr="002D7AAF">
        <w:rPr>
          <w:rFonts w:ascii="Times New Roman Bold"/>
        </w:rPr>
        <w:t xml:space="preserve">Simon Gyasi Nimako </w:t>
      </w:r>
      <w:r w:rsidRPr="002D7AAF">
        <w:t xml:space="preserve">(PhD Researcher) </w:t>
      </w:r>
      <w:r w:rsidRPr="002D7AAF">
        <w:rPr>
          <w:rFonts w:ascii="Arial Unicode MS"/>
        </w:rPr>
        <w:t>–</w:t>
      </w:r>
      <w:r w:rsidRPr="002D7AAF">
        <w:rPr>
          <w:rFonts w:ascii="Arial Unicode MS"/>
        </w:rPr>
        <w:t xml:space="preserve"> </w:t>
      </w:r>
      <w:r w:rsidRPr="002D7AAF">
        <w:rPr>
          <w:rFonts w:ascii="Times New Roman Bold"/>
        </w:rPr>
        <w:t>corresponding author</w:t>
      </w:r>
    </w:p>
    <w:p w:rsidR="00AD3794" w:rsidRPr="002D7AAF" w:rsidRDefault="00AD3794" w:rsidP="00AD3794">
      <w:pPr>
        <w:jc w:val="center"/>
        <w:rPr>
          <w:sz w:val="18"/>
          <w:szCs w:val="18"/>
        </w:rPr>
      </w:pPr>
      <w:r w:rsidRPr="002D7AAF">
        <w:rPr>
          <w:sz w:val="18"/>
          <w:szCs w:val="18"/>
        </w:rPr>
        <w:t>Department of Management Studies Education, University of Education, Winneba,</w:t>
      </w:r>
    </w:p>
    <w:p w:rsidR="00AD3794" w:rsidRPr="002D7AAF" w:rsidRDefault="00AD3794" w:rsidP="00AD3794">
      <w:pPr>
        <w:jc w:val="center"/>
        <w:rPr>
          <w:sz w:val="18"/>
          <w:szCs w:val="18"/>
        </w:rPr>
      </w:pPr>
      <w:r w:rsidRPr="002D7AAF">
        <w:rPr>
          <w:sz w:val="18"/>
          <w:szCs w:val="18"/>
        </w:rPr>
        <w:t xml:space="preserve">Box 1277, Kumasi </w:t>
      </w:r>
      <w:r w:rsidRPr="002D7AAF">
        <w:rPr>
          <w:rFonts w:ascii="Arial Unicode MS"/>
          <w:sz w:val="18"/>
          <w:szCs w:val="18"/>
        </w:rPr>
        <w:t>–</w:t>
      </w:r>
      <w:r w:rsidRPr="002D7AAF">
        <w:rPr>
          <w:rFonts w:ascii="Arial Unicode MS"/>
          <w:sz w:val="18"/>
          <w:szCs w:val="18"/>
        </w:rPr>
        <w:t xml:space="preserve"> </w:t>
      </w:r>
      <w:r w:rsidRPr="002D7AAF">
        <w:rPr>
          <w:sz w:val="18"/>
          <w:szCs w:val="18"/>
        </w:rPr>
        <w:t>Ghana,</w:t>
      </w:r>
    </w:p>
    <w:p w:rsidR="00AD3794" w:rsidRPr="002D7AAF" w:rsidRDefault="00AD3794" w:rsidP="00AD3794">
      <w:pPr>
        <w:jc w:val="center"/>
        <w:rPr>
          <w:sz w:val="18"/>
          <w:szCs w:val="18"/>
        </w:rPr>
      </w:pPr>
      <w:r w:rsidRPr="002D7AAF">
        <w:rPr>
          <w:sz w:val="18"/>
          <w:szCs w:val="18"/>
        </w:rPr>
        <w:t>Phone: +233 261713782,</w:t>
      </w:r>
    </w:p>
    <w:p w:rsidR="00AD3794" w:rsidRPr="002D7AAF" w:rsidRDefault="00AD3794" w:rsidP="00AD3794">
      <w:pPr>
        <w:jc w:val="center"/>
        <w:rPr>
          <w:sz w:val="18"/>
          <w:szCs w:val="18"/>
        </w:rPr>
      </w:pPr>
      <w:r w:rsidRPr="002D7AAF">
        <w:rPr>
          <w:sz w:val="18"/>
          <w:szCs w:val="18"/>
        </w:rPr>
        <w:t xml:space="preserve">Email: </w:t>
      </w:r>
      <w:hyperlink r:id="rId7" w:history="1">
        <w:r w:rsidRPr="002D7AAF">
          <w:rPr>
            <w:color w:val="0000FF"/>
            <w:sz w:val="18"/>
            <w:szCs w:val="18"/>
            <w:u w:val="single" w:color="0000FF"/>
          </w:rPr>
          <w:t>sim.ekomerce@gmail.com</w:t>
        </w:r>
      </w:hyperlink>
    </w:p>
    <w:p w:rsidR="00AD3794" w:rsidRPr="002D7AAF" w:rsidRDefault="00AD3794" w:rsidP="00AD3794">
      <w:pPr>
        <w:jc w:val="center"/>
        <w:rPr>
          <w:sz w:val="18"/>
          <w:szCs w:val="18"/>
        </w:rPr>
      </w:pPr>
      <w:r w:rsidRPr="002D7AAF">
        <w:rPr>
          <w:sz w:val="18"/>
          <w:szCs w:val="18"/>
        </w:rPr>
        <w:t>Accra Institute of Technology Business School, Accra - Ghana</w:t>
      </w:r>
    </w:p>
    <w:p w:rsidR="00AD3794" w:rsidRPr="002D7AAF" w:rsidRDefault="00AD3794" w:rsidP="00AD3794">
      <w:pPr>
        <w:jc w:val="center"/>
      </w:pPr>
    </w:p>
    <w:p w:rsidR="00AD3794" w:rsidRPr="002D7AAF" w:rsidRDefault="00AD3794" w:rsidP="00AD3794">
      <w:pPr>
        <w:jc w:val="center"/>
        <w:rPr>
          <w:b/>
          <w:color w:val="FF0000"/>
        </w:rPr>
      </w:pPr>
      <w:r w:rsidRPr="002D7AAF">
        <w:rPr>
          <w:b/>
        </w:rPr>
        <w:t xml:space="preserve">Dr. Benjamin </w:t>
      </w:r>
      <w:proofErr w:type="spellStart"/>
      <w:r w:rsidRPr="002D7AAF">
        <w:rPr>
          <w:b/>
        </w:rPr>
        <w:t>Aggrey</w:t>
      </w:r>
      <w:proofErr w:type="spellEnd"/>
      <w:r w:rsidRPr="002D7AAF">
        <w:rPr>
          <w:b/>
        </w:rPr>
        <w:t xml:space="preserve"> </w:t>
      </w:r>
      <w:proofErr w:type="spellStart"/>
      <w:r w:rsidRPr="002D7AAF">
        <w:rPr>
          <w:b/>
        </w:rPr>
        <w:t>Ntim</w:t>
      </w:r>
      <w:proofErr w:type="spellEnd"/>
    </w:p>
    <w:p w:rsidR="00AD3794" w:rsidRPr="002D7AAF" w:rsidRDefault="00AD3794" w:rsidP="00AD3794">
      <w:pPr>
        <w:jc w:val="center"/>
        <w:rPr>
          <w:color w:val="000000" w:themeColor="text1"/>
          <w:sz w:val="18"/>
          <w:szCs w:val="18"/>
        </w:rPr>
      </w:pPr>
      <w:r w:rsidRPr="002D7AAF">
        <w:rPr>
          <w:color w:val="000000" w:themeColor="text1"/>
          <w:sz w:val="18"/>
          <w:szCs w:val="18"/>
        </w:rPr>
        <w:t>Assoc. Dean of Innovation and Industrial Partnerships</w:t>
      </w:r>
    </w:p>
    <w:p w:rsidR="00AD3794" w:rsidRPr="002D7AAF" w:rsidRDefault="00AD3794" w:rsidP="00AD3794">
      <w:pPr>
        <w:jc w:val="center"/>
        <w:rPr>
          <w:color w:val="000000" w:themeColor="text1"/>
          <w:sz w:val="18"/>
          <w:szCs w:val="18"/>
        </w:rPr>
      </w:pPr>
      <w:r w:rsidRPr="002D7AAF">
        <w:rPr>
          <w:color w:val="000000" w:themeColor="text1"/>
          <w:sz w:val="18"/>
          <w:szCs w:val="18"/>
        </w:rPr>
        <w:t>Accra Institute of Technology, P O Box AN 19782, Accra, Ghana</w:t>
      </w:r>
    </w:p>
    <w:p w:rsidR="00AD3794" w:rsidRPr="002D7AAF" w:rsidRDefault="00AD3794" w:rsidP="00AD3794">
      <w:pPr>
        <w:jc w:val="center"/>
        <w:rPr>
          <w:color w:val="000000" w:themeColor="text1"/>
          <w:sz w:val="18"/>
          <w:szCs w:val="18"/>
        </w:rPr>
      </w:pPr>
      <w:r w:rsidRPr="002D7AAF">
        <w:rPr>
          <w:color w:val="000000" w:themeColor="text1"/>
          <w:sz w:val="18"/>
          <w:szCs w:val="18"/>
        </w:rPr>
        <w:t>Phone: +233244708182,</w:t>
      </w:r>
    </w:p>
    <w:p w:rsidR="00AD3794" w:rsidRPr="002D7AAF" w:rsidRDefault="00AD3794" w:rsidP="00AD3794">
      <w:pPr>
        <w:jc w:val="center"/>
        <w:rPr>
          <w:color w:val="000000" w:themeColor="text1"/>
        </w:rPr>
      </w:pPr>
      <w:r w:rsidRPr="002D7AAF">
        <w:rPr>
          <w:color w:val="000000" w:themeColor="text1"/>
          <w:sz w:val="18"/>
          <w:szCs w:val="18"/>
        </w:rPr>
        <w:t xml:space="preserve">Email: </w:t>
      </w:r>
      <w:hyperlink r:id="rId8" w:history="1">
        <w:r w:rsidRPr="002D7AAF">
          <w:rPr>
            <w:color w:val="0000FF"/>
            <w:sz w:val="18"/>
            <w:szCs w:val="18"/>
            <w:u w:val="single"/>
          </w:rPr>
          <w:t>ntim@ait.edu.gh</w:t>
        </w:r>
      </w:hyperlink>
      <w:r>
        <w:rPr>
          <w:color w:val="0000FF"/>
          <w:sz w:val="18"/>
          <w:szCs w:val="18"/>
          <w:u w:val="single"/>
        </w:rPr>
        <w:t xml:space="preserve">; </w:t>
      </w:r>
      <w:r w:rsidRPr="00564F55">
        <w:rPr>
          <w:color w:val="0000FF"/>
          <w:sz w:val="18"/>
          <w:szCs w:val="18"/>
          <w:u w:val="single"/>
        </w:rPr>
        <w:t>bntim2003@yahoo.com</w:t>
      </w:r>
    </w:p>
    <w:p w:rsidR="00AD3794" w:rsidRPr="00CB6E29" w:rsidRDefault="00AD3794" w:rsidP="00CB6E29">
      <w:pPr>
        <w:pStyle w:val="NoSpacing"/>
        <w:jc w:val="center"/>
        <w:rPr>
          <w:rFonts w:ascii="Times New Roman Bold" w:eastAsia="Times New Roman Bold" w:hAnsi="Times New Roman Bold" w:cs="Times New Roman Bold"/>
          <w:sz w:val="32"/>
          <w:szCs w:val="24"/>
        </w:rPr>
      </w:pPr>
    </w:p>
    <w:p w:rsidR="00040BEA" w:rsidRDefault="00040BEA" w:rsidP="00730C75">
      <w:pPr>
        <w:pStyle w:val="NoSpacing"/>
        <w:jc w:val="center"/>
        <w:rPr>
          <w:rFonts w:ascii="Times New Roman Bold"/>
          <w:sz w:val="20"/>
          <w:szCs w:val="24"/>
        </w:rPr>
      </w:pPr>
    </w:p>
    <w:p w:rsidR="00394FA7" w:rsidRPr="001D01CA" w:rsidRDefault="00731102" w:rsidP="001D01CA">
      <w:pPr>
        <w:pStyle w:val="NoSpacing"/>
        <w:rPr>
          <w:rFonts w:ascii="Times New Roman Bold" w:eastAsia="Times New Roman Bold" w:hAnsi="Times New Roman Bold" w:cs="Times New Roman Bold"/>
          <w:sz w:val="24"/>
          <w:szCs w:val="24"/>
        </w:rPr>
      </w:pPr>
      <w:r w:rsidRPr="001D01CA">
        <w:rPr>
          <w:rFonts w:ascii="Times New Roman Bold"/>
          <w:sz w:val="24"/>
          <w:szCs w:val="24"/>
        </w:rPr>
        <w:t>Abstract</w:t>
      </w:r>
    </w:p>
    <w:p w:rsidR="00394FA7" w:rsidRPr="00DA7AA4" w:rsidRDefault="00731102" w:rsidP="00DA7AA4">
      <w:pPr>
        <w:pStyle w:val="NoSpacing"/>
        <w:spacing w:line="276" w:lineRule="auto"/>
        <w:jc w:val="both"/>
        <w:rPr>
          <w:rFonts w:ascii="Times New Roman" w:hAnsi="Times New Roman" w:cs="Times New Roman"/>
          <w:sz w:val="20"/>
          <w:highlight w:val="yellow"/>
        </w:rPr>
      </w:pPr>
      <w:r w:rsidRPr="00DA7AA4">
        <w:rPr>
          <w:rFonts w:ascii="Times New Roman" w:hAnsi="Times New Roman" w:cs="Times New Roman"/>
          <w:sz w:val="20"/>
        </w:rPr>
        <w:t>The mobile number portab</w:t>
      </w:r>
      <w:r w:rsidR="008B1E40" w:rsidRPr="00DA7AA4">
        <w:rPr>
          <w:rFonts w:ascii="Times New Roman" w:hAnsi="Times New Roman" w:cs="Times New Roman"/>
          <w:sz w:val="20"/>
        </w:rPr>
        <w:t>ility (MNP) innovation in Ghana</w:t>
      </w:r>
      <w:r w:rsidR="00C11D98" w:rsidRPr="00DA7AA4">
        <w:rPr>
          <w:rFonts w:ascii="Times New Roman" w:hAnsi="Times New Roman" w:cs="Times New Roman"/>
          <w:sz w:val="20"/>
        </w:rPr>
        <w:t xml:space="preserve"> is</w:t>
      </w:r>
      <w:r w:rsidR="008B1E40" w:rsidRPr="00DA7AA4">
        <w:rPr>
          <w:rFonts w:ascii="Times New Roman" w:hAnsi="Times New Roman" w:cs="Times New Roman"/>
          <w:sz w:val="20"/>
        </w:rPr>
        <w:t xml:space="preserve"> </w:t>
      </w:r>
      <w:r w:rsidRPr="00DA7AA4">
        <w:rPr>
          <w:rFonts w:ascii="Times New Roman" w:hAnsi="Times New Roman" w:cs="Times New Roman"/>
          <w:sz w:val="20"/>
        </w:rPr>
        <w:t xml:space="preserve">expected to </w:t>
      </w:r>
      <w:r w:rsidR="008B1E40" w:rsidRPr="00DA7AA4">
        <w:rPr>
          <w:rFonts w:ascii="Times New Roman" w:hAnsi="Times New Roman" w:cs="Times New Roman"/>
          <w:sz w:val="20"/>
        </w:rPr>
        <w:t xml:space="preserve">benefit </w:t>
      </w:r>
      <w:r w:rsidRPr="00DA7AA4">
        <w:rPr>
          <w:rFonts w:ascii="Times New Roman" w:hAnsi="Times New Roman" w:cs="Times New Roman"/>
          <w:sz w:val="20"/>
        </w:rPr>
        <w:t>consumer</w:t>
      </w:r>
      <w:r w:rsidR="008B1E40" w:rsidRPr="00DA7AA4">
        <w:rPr>
          <w:rFonts w:ascii="Times New Roman" w:hAnsi="Times New Roman" w:cs="Times New Roman"/>
          <w:sz w:val="20"/>
        </w:rPr>
        <w:t xml:space="preserve">s, industry players and the society as it is capable of inducing strong switching efficacy and </w:t>
      </w:r>
      <w:r w:rsidRPr="00DA7AA4">
        <w:rPr>
          <w:rFonts w:ascii="Times New Roman" w:hAnsi="Times New Roman" w:cs="Times New Roman"/>
          <w:sz w:val="20"/>
        </w:rPr>
        <w:t>increase competition among mobile network operators</w:t>
      </w:r>
      <w:r w:rsidR="008B1E40" w:rsidRPr="00DA7AA4">
        <w:rPr>
          <w:rFonts w:ascii="Times New Roman" w:hAnsi="Times New Roman" w:cs="Times New Roman"/>
          <w:sz w:val="20"/>
        </w:rPr>
        <w:t xml:space="preserve"> </w:t>
      </w:r>
      <w:r w:rsidR="00CA7D76" w:rsidRPr="00DA7AA4">
        <w:rPr>
          <w:rFonts w:ascii="Times New Roman" w:hAnsi="Times New Roman" w:cs="Times New Roman"/>
          <w:sz w:val="20"/>
        </w:rPr>
        <w:t>in Ghana</w:t>
      </w:r>
      <w:r w:rsidRPr="00DA7AA4">
        <w:rPr>
          <w:rFonts w:ascii="Times New Roman" w:hAnsi="Times New Roman" w:cs="Times New Roman"/>
          <w:sz w:val="20"/>
        </w:rPr>
        <w:t xml:space="preserve">.  </w:t>
      </w:r>
      <w:r w:rsidR="00CA7D76" w:rsidRPr="00DA7AA4">
        <w:rPr>
          <w:rFonts w:ascii="Times New Roman" w:hAnsi="Times New Roman" w:cs="Times New Roman"/>
          <w:sz w:val="20"/>
        </w:rPr>
        <w:t>However, t</w:t>
      </w:r>
      <w:r w:rsidR="00A70FF8" w:rsidRPr="00DA7AA4">
        <w:rPr>
          <w:rFonts w:ascii="Times New Roman" w:hAnsi="Times New Roman" w:cs="Times New Roman"/>
          <w:sz w:val="20"/>
        </w:rPr>
        <w:t xml:space="preserve">here is </w:t>
      </w:r>
      <w:r w:rsidR="00C521EF" w:rsidRPr="00DA7AA4">
        <w:rPr>
          <w:rFonts w:ascii="Times New Roman" w:hAnsi="Times New Roman" w:cs="Times New Roman"/>
          <w:sz w:val="20"/>
        </w:rPr>
        <w:t>relatively</w:t>
      </w:r>
      <w:r w:rsidR="00A70FF8" w:rsidRPr="00DA7AA4">
        <w:rPr>
          <w:rFonts w:ascii="Times New Roman" w:hAnsi="Times New Roman" w:cs="Times New Roman"/>
          <w:sz w:val="20"/>
        </w:rPr>
        <w:t xml:space="preserve"> little</w:t>
      </w:r>
      <w:r w:rsidR="00C521EF" w:rsidRPr="00DA7AA4">
        <w:rPr>
          <w:rFonts w:ascii="Times New Roman" w:hAnsi="Times New Roman" w:cs="Times New Roman"/>
          <w:sz w:val="20"/>
        </w:rPr>
        <w:t xml:space="preserve"> </w:t>
      </w:r>
      <w:r w:rsidRPr="00DA7AA4">
        <w:rPr>
          <w:rFonts w:ascii="Times New Roman" w:hAnsi="Times New Roman" w:cs="Times New Roman"/>
          <w:sz w:val="20"/>
        </w:rPr>
        <w:t>empirical research on</w:t>
      </w:r>
      <w:r w:rsidR="00A70FF8" w:rsidRPr="00DA7AA4">
        <w:rPr>
          <w:rFonts w:ascii="Times New Roman" w:hAnsi="Times New Roman" w:cs="Times New Roman"/>
          <w:sz w:val="20"/>
        </w:rPr>
        <w:t xml:space="preserve"> consumer </w:t>
      </w:r>
      <w:proofErr w:type="spellStart"/>
      <w:r w:rsidR="00A70FF8" w:rsidRPr="00DA7AA4">
        <w:rPr>
          <w:rFonts w:ascii="Times New Roman" w:hAnsi="Times New Roman" w:cs="Times New Roman"/>
          <w:sz w:val="20"/>
        </w:rPr>
        <w:t>behaviour</w:t>
      </w:r>
      <w:proofErr w:type="spellEnd"/>
      <w:r w:rsidR="00A70FF8" w:rsidRPr="00DA7AA4">
        <w:rPr>
          <w:rFonts w:ascii="Times New Roman" w:hAnsi="Times New Roman" w:cs="Times New Roman"/>
          <w:sz w:val="20"/>
        </w:rPr>
        <w:t xml:space="preserve"> towards</w:t>
      </w:r>
      <w:r w:rsidRPr="00DA7AA4">
        <w:rPr>
          <w:rFonts w:ascii="Times New Roman" w:hAnsi="Times New Roman" w:cs="Times New Roman"/>
          <w:sz w:val="20"/>
        </w:rPr>
        <w:t xml:space="preserve"> MNP adoption </w:t>
      </w:r>
      <w:r w:rsidR="00A70FF8" w:rsidRPr="00DA7AA4">
        <w:rPr>
          <w:rFonts w:ascii="Times New Roman" w:hAnsi="Times New Roman" w:cs="Times New Roman"/>
          <w:sz w:val="20"/>
        </w:rPr>
        <w:t xml:space="preserve">in </w:t>
      </w:r>
      <w:r w:rsidR="00C521EF" w:rsidRPr="00DA7AA4">
        <w:rPr>
          <w:rFonts w:ascii="Times New Roman" w:hAnsi="Times New Roman" w:cs="Times New Roman"/>
          <w:sz w:val="20"/>
        </w:rPr>
        <w:t>the Ghana mobile telecom context</w:t>
      </w:r>
      <w:r w:rsidR="009939F5" w:rsidRPr="00DA7AA4">
        <w:rPr>
          <w:rFonts w:ascii="Times New Roman" w:hAnsi="Times New Roman" w:cs="Times New Roman"/>
          <w:sz w:val="20"/>
        </w:rPr>
        <w:t>. This paper attempts to</w:t>
      </w:r>
      <w:r w:rsidR="000218E4" w:rsidRPr="00DA7AA4">
        <w:rPr>
          <w:rFonts w:ascii="Times New Roman" w:hAnsi="Times New Roman" w:cs="Times New Roman"/>
          <w:sz w:val="20"/>
        </w:rPr>
        <w:t xml:space="preserve"> fill this gap by examining </w:t>
      </w:r>
      <w:r w:rsidR="004044E8" w:rsidRPr="00DA7AA4">
        <w:rPr>
          <w:rFonts w:ascii="Times New Roman" w:hAnsi="Times New Roman" w:cs="Times New Roman"/>
          <w:sz w:val="20"/>
        </w:rPr>
        <w:t xml:space="preserve">consumer </w:t>
      </w:r>
      <w:proofErr w:type="spellStart"/>
      <w:r w:rsidR="004044E8" w:rsidRPr="00DA7AA4">
        <w:rPr>
          <w:rFonts w:ascii="Times New Roman" w:hAnsi="Times New Roman" w:cs="Times New Roman"/>
          <w:sz w:val="20"/>
        </w:rPr>
        <w:t>behaviour</w:t>
      </w:r>
      <w:proofErr w:type="spellEnd"/>
      <w:r w:rsidR="004044E8" w:rsidRPr="00DA7AA4">
        <w:rPr>
          <w:rFonts w:ascii="Times New Roman" w:hAnsi="Times New Roman" w:cs="Times New Roman"/>
          <w:sz w:val="20"/>
        </w:rPr>
        <w:t xml:space="preserve"> towards MNP in Ghana</w:t>
      </w:r>
      <w:r w:rsidR="000218E4" w:rsidRPr="00DA7AA4">
        <w:rPr>
          <w:rFonts w:ascii="Times New Roman" w:hAnsi="Times New Roman" w:cs="Times New Roman"/>
          <w:sz w:val="20"/>
        </w:rPr>
        <w:t xml:space="preserve">. Through </w:t>
      </w:r>
      <w:r w:rsidRPr="00DA7AA4">
        <w:rPr>
          <w:rFonts w:ascii="Times New Roman" w:hAnsi="Times New Roman" w:cs="Times New Roman"/>
          <w:sz w:val="20"/>
        </w:rPr>
        <w:t xml:space="preserve">a cross-sectional survey </w:t>
      </w:r>
      <w:r w:rsidR="000218E4" w:rsidRPr="00DA7AA4">
        <w:rPr>
          <w:rFonts w:ascii="Times New Roman" w:hAnsi="Times New Roman" w:cs="Times New Roman"/>
          <w:sz w:val="20"/>
        </w:rPr>
        <w:t>design involving</w:t>
      </w:r>
      <w:r w:rsidRPr="00DA7AA4">
        <w:rPr>
          <w:rFonts w:ascii="Times New Roman" w:hAnsi="Times New Roman" w:cs="Times New Roman"/>
          <w:sz w:val="20"/>
        </w:rPr>
        <w:t xml:space="preserve"> 736 mo</w:t>
      </w:r>
      <w:r w:rsidR="00372448" w:rsidRPr="00DA7AA4">
        <w:rPr>
          <w:rFonts w:ascii="Times New Roman" w:hAnsi="Times New Roman" w:cs="Times New Roman"/>
          <w:sz w:val="20"/>
        </w:rPr>
        <w:t>bile subscribers from six telecom</w:t>
      </w:r>
      <w:r w:rsidR="009123D3" w:rsidRPr="00DA7AA4">
        <w:rPr>
          <w:rFonts w:ascii="Times New Roman" w:hAnsi="Times New Roman" w:cs="Times New Roman"/>
          <w:sz w:val="20"/>
        </w:rPr>
        <w:t>s</w:t>
      </w:r>
      <w:r w:rsidRPr="00DA7AA4">
        <w:rPr>
          <w:rFonts w:ascii="Times New Roman" w:hAnsi="Times New Roman" w:cs="Times New Roman"/>
          <w:sz w:val="20"/>
        </w:rPr>
        <w:t xml:space="preserve"> in Gh</w:t>
      </w:r>
      <w:r w:rsidR="00962FEA">
        <w:rPr>
          <w:rFonts w:ascii="Times New Roman" w:hAnsi="Times New Roman" w:cs="Times New Roman"/>
          <w:sz w:val="20"/>
        </w:rPr>
        <w:t>ana</w:t>
      </w:r>
      <w:r w:rsidRPr="00DA7AA4">
        <w:rPr>
          <w:rFonts w:ascii="Times New Roman" w:hAnsi="Times New Roman" w:cs="Times New Roman"/>
          <w:sz w:val="20"/>
        </w:rPr>
        <w:t xml:space="preserve"> where MNP policy</w:t>
      </w:r>
      <w:r w:rsidR="001E51F8">
        <w:rPr>
          <w:rFonts w:ascii="Times New Roman" w:hAnsi="Times New Roman" w:cs="Times New Roman"/>
          <w:sz w:val="20"/>
        </w:rPr>
        <w:t xml:space="preserve"> has recently been introduced</w:t>
      </w:r>
      <w:r w:rsidR="00F30838">
        <w:rPr>
          <w:rFonts w:ascii="Times New Roman" w:hAnsi="Times New Roman" w:cs="Times New Roman"/>
          <w:sz w:val="20"/>
        </w:rPr>
        <w:t>,</w:t>
      </w:r>
      <w:r w:rsidRPr="00DA7AA4">
        <w:rPr>
          <w:rFonts w:ascii="Times New Roman" w:hAnsi="Times New Roman" w:cs="Times New Roman"/>
          <w:sz w:val="20"/>
        </w:rPr>
        <w:t xml:space="preserve"> </w:t>
      </w:r>
      <w:r w:rsidR="00F30838">
        <w:rPr>
          <w:rFonts w:ascii="Times New Roman" w:hAnsi="Times New Roman" w:cs="Times New Roman"/>
          <w:sz w:val="20"/>
        </w:rPr>
        <w:t>t</w:t>
      </w:r>
      <w:r w:rsidRPr="00DA7AA4">
        <w:rPr>
          <w:rFonts w:ascii="Times New Roman" w:hAnsi="Times New Roman" w:cs="Times New Roman"/>
          <w:sz w:val="20"/>
        </w:rPr>
        <w:t>he results indicate</w:t>
      </w:r>
      <w:r w:rsidR="00962FEA">
        <w:rPr>
          <w:rFonts w:ascii="Times New Roman" w:hAnsi="Times New Roman" w:cs="Times New Roman"/>
          <w:sz w:val="20"/>
        </w:rPr>
        <w:t xml:space="preserve"> that</w:t>
      </w:r>
      <w:r w:rsidRPr="00DA7AA4">
        <w:rPr>
          <w:rFonts w:ascii="Times New Roman" w:hAnsi="Times New Roman" w:cs="Times New Roman"/>
          <w:sz w:val="20"/>
        </w:rPr>
        <w:t xml:space="preserve"> </w:t>
      </w:r>
      <w:r w:rsidR="004337E6" w:rsidRPr="00DA7AA4">
        <w:rPr>
          <w:rFonts w:ascii="Times New Roman" w:hAnsi="Times New Roman" w:cs="Times New Roman"/>
          <w:sz w:val="20"/>
        </w:rPr>
        <w:t>most respondents rated their perception</w:t>
      </w:r>
      <w:r w:rsidR="00962FEA">
        <w:rPr>
          <w:rFonts w:ascii="Times New Roman" w:hAnsi="Times New Roman" w:cs="Times New Roman"/>
          <w:sz w:val="20"/>
        </w:rPr>
        <w:t xml:space="preserve"> of</w:t>
      </w:r>
      <w:r w:rsidR="004337E6" w:rsidRPr="00DA7AA4">
        <w:rPr>
          <w:rFonts w:ascii="Times New Roman" w:hAnsi="Times New Roman" w:cs="Times New Roman"/>
          <w:sz w:val="20"/>
        </w:rPr>
        <w:t xml:space="preserve"> </w:t>
      </w:r>
      <w:r w:rsidR="001E51F8">
        <w:rPr>
          <w:rFonts w:ascii="Times New Roman" w:hAnsi="Times New Roman" w:cs="Times New Roman"/>
          <w:sz w:val="20"/>
        </w:rPr>
        <w:t>l</w:t>
      </w:r>
      <w:r w:rsidR="004337E6" w:rsidRPr="00DA7AA4">
        <w:rPr>
          <w:rFonts w:ascii="Times New Roman" w:hAnsi="Times New Roman" w:cs="Times New Roman"/>
          <w:sz w:val="20"/>
        </w:rPr>
        <w:t>evel of knowledge of MNP</w:t>
      </w:r>
      <w:r w:rsidR="001E51F8">
        <w:rPr>
          <w:rFonts w:ascii="Times New Roman" w:hAnsi="Times New Roman" w:cs="Times New Roman"/>
          <w:sz w:val="20"/>
        </w:rPr>
        <w:t xml:space="preserve"> and </w:t>
      </w:r>
      <w:r w:rsidR="00962FEA">
        <w:rPr>
          <w:rFonts w:ascii="Times New Roman" w:hAnsi="Times New Roman" w:cs="Times New Roman"/>
          <w:sz w:val="20"/>
        </w:rPr>
        <w:t>usefulness of MNP</w:t>
      </w:r>
      <w:r w:rsidR="004337E6" w:rsidRPr="00DA7AA4">
        <w:rPr>
          <w:rFonts w:ascii="Times New Roman" w:hAnsi="Times New Roman" w:cs="Times New Roman"/>
          <w:sz w:val="20"/>
        </w:rPr>
        <w:t xml:space="preserve"> low. Moreover, </w:t>
      </w:r>
      <w:r w:rsidR="001E51F8">
        <w:rPr>
          <w:rFonts w:ascii="Times New Roman" w:hAnsi="Times New Roman" w:cs="Times New Roman"/>
          <w:sz w:val="20"/>
        </w:rPr>
        <w:t xml:space="preserve">most respondents had </w:t>
      </w:r>
      <w:proofErr w:type="spellStart"/>
      <w:r w:rsidR="004337E6" w:rsidRPr="00DA7AA4">
        <w:rPr>
          <w:rFonts w:ascii="Times New Roman" w:hAnsi="Times New Roman" w:cs="Times New Roman"/>
          <w:sz w:val="20"/>
        </w:rPr>
        <w:t>un</w:t>
      </w:r>
      <w:r w:rsidR="001E51F8">
        <w:rPr>
          <w:rFonts w:ascii="Times New Roman" w:hAnsi="Times New Roman" w:cs="Times New Roman"/>
          <w:sz w:val="20"/>
        </w:rPr>
        <w:t>favourable</w:t>
      </w:r>
      <w:proofErr w:type="spellEnd"/>
      <w:r w:rsidR="001E51F8">
        <w:rPr>
          <w:rFonts w:ascii="Times New Roman" w:hAnsi="Times New Roman" w:cs="Times New Roman"/>
          <w:sz w:val="20"/>
        </w:rPr>
        <w:t xml:space="preserve"> attitude towards MNP and </w:t>
      </w:r>
      <w:r w:rsidR="008E7410" w:rsidRPr="00DA7AA4">
        <w:rPr>
          <w:rFonts w:ascii="Times New Roman" w:hAnsi="Times New Roman" w:cs="Times New Roman"/>
          <w:sz w:val="20"/>
        </w:rPr>
        <w:t>percei</w:t>
      </w:r>
      <w:r w:rsidR="001E51F8">
        <w:rPr>
          <w:rFonts w:ascii="Times New Roman" w:hAnsi="Times New Roman" w:cs="Times New Roman"/>
          <w:sz w:val="20"/>
        </w:rPr>
        <w:t>ved the</w:t>
      </w:r>
      <w:r w:rsidR="008E7410" w:rsidRPr="00DA7AA4">
        <w:rPr>
          <w:rFonts w:ascii="Times New Roman" w:hAnsi="Times New Roman" w:cs="Times New Roman"/>
          <w:sz w:val="20"/>
        </w:rPr>
        <w:t xml:space="preserve"> porting time</w:t>
      </w:r>
      <w:r w:rsidR="001E51F8">
        <w:rPr>
          <w:rFonts w:ascii="Times New Roman" w:hAnsi="Times New Roman" w:cs="Times New Roman"/>
          <w:sz w:val="20"/>
        </w:rPr>
        <w:t xml:space="preserve"> as unduly long and slow. Gender and age influenced consumer perception of MNP adoption</w:t>
      </w:r>
      <w:r w:rsidR="00CD2A5B" w:rsidRPr="00DA7AA4">
        <w:rPr>
          <w:rFonts w:ascii="Times New Roman" w:hAnsi="Times New Roman" w:cs="Times New Roman"/>
          <w:sz w:val="20"/>
        </w:rPr>
        <w:t xml:space="preserve">. </w:t>
      </w:r>
      <w:r w:rsidRPr="00DA7AA4">
        <w:rPr>
          <w:rFonts w:ascii="Times New Roman" w:hAnsi="Times New Roman" w:cs="Times New Roman"/>
          <w:sz w:val="20"/>
        </w:rPr>
        <w:t xml:space="preserve">The implications of these findings to theory and practitioners have been discussed, limitation are noted and directions for future research are proposed. The paper advances our knowledge in consumer </w:t>
      </w:r>
      <w:proofErr w:type="spellStart"/>
      <w:r w:rsidRPr="00DA7AA4">
        <w:rPr>
          <w:rFonts w:ascii="Times New Roman" w:hAnsi="Times New Roman" w:cs="Times New Roman"/>
          <w:sz w:val="20"/>
        </w:rPr>
        <w:t>behaviour</w:t>
      </w:r>
      <w:proofErr w:type="spellEnd"/>
      <w:r w:rsidRPr="00DA7AA4">
        <w:rPr>
          <w:rFonts w:ascii="Times New Roman" w:hAnsi="Times New Roman" w:cs="Times New Roman"/>
          <w:sz w:val="20"/>
        </w:rPr>
        <w:t xml:space="preserve"> towards technological innovations in the mobile telecommunication industry</w:t>
      </w:r>
      <w:r w:rsidR="00B40131" w:rsidRPr="00DA7AA4">
        <w:rPr>
          <w:rFonts w:ascii="Times New Roman" w:hAnsi="Times New Roman" w:cs="Times New Roman"/>
          <w:sz w:val="20"/>
        </w:rPr>
        <w:t xml:space="preserve"> in developing countries</w:t>
      </w:r>
      <w:r w:rsidRPr="00DA7AA4">
        <w:rPr>
          <w:rFonts w:ascii="Times New Roman" w:hAnsi="Times New Roman" w:cs="Times New Roman"/>
          <w:sz w:val="20"/>
        </w:rPr>
        <w:t>.</w:t>
      </w:r>
    </w:p>
    <w:p w:rsidR="00394FA7" w:rsidRDefault="00394FA7" w:rsidP="004C7816">
      <w:pPr>
        <w:pStyle w:val="NoSpacing"/>
        <w:jc w:val="both"/>
        <w:rPr>
          <w:rFonts w:ascii="Times New Roman" w:eastAsia="Times New Roman" w:hAnsi="Times New Roman" w:cs="Times New Roman"/>
          <w:sz w:val="24"/>
          <w:szCs w:val="24"/>
        </w:rPr>
      </w:pPr>
    </w:p>
    <w:p w:rsidR="00394FA7" w:rsidRPr="000934FF" w:rsidRDefault="00731102">
      <w:pPr>
        <w:pStyle w:val="NoSpacing"/>
        <w:jc w:val="both"/>
        <w:rPr>
          <w:rFonts w:ascii="Times New Roman"/>
          <w:sz w:val="20"/>
          <w:szCs w:val="24"/>
        </w:rPr>
      </w:pPr>
      <w:r w:rsidRPr="000934FF">
        <w:rPr>
          <w:rFonts w:ascii="Times New Roman Bold"/>
          <w:sz w:val="20"/>
          <w:szCs w:val="24"/>
        </w:rPr>
        <w:t>Keywords</w:t>
      </w:r>
      <w:r w:rsidR="00040BEA">
        <w:rPr>
          <w:rFonts w:ascii="Times New Roman"/>
          <w:sz w:val="20"/>
          <w:szCs w:val="24"/>
        </w:rPr>
        <w:t xml:space="preserve">: </w:t>
      </w:r>
      <w:r w:rsidR="00E65979" w:rsidRPr="000934FF">
        <w:rPr>
          <w:rFonts w:ascii="Times New Roman"/>
          <w:sz w:val="20"/>
          <w:szCs w:val="24"/>
        </w:rPr>
        <w:t xml:space="preserve">number portability; demography; switching efficacy; </w:t>
      </w:r>
      <w:r w:rsidR="00D20996" w:rsidRPr="000934FF">
        <w:rPr>
          <w:rFonts w:ascii="Times New Roman"/>
          <w:sz w:val="20"/>
          <w:szCs w:val="24"/>
        </w:rPr>
        <w:t xml:space="preserve">mobile </w:t>
      </w:r>
      <w:r w:rsidRPr="000934FF">
        <w:rPr>
          <w:rFonts w:ascii="Times New Roman"/>
          <w:sz w:val="20"/>
          <w:szCs w:val="24"/>
        </w:rPr>
        <w:t xml:space="preserve">telecom industry </w:t>
      </w:r>
    </w:p>
    <w:p w:rsidR="00DA7AA4" w:rsidRDefault="00DA7AA4" w:rsidP="00DA7AA4">
      <w:pPr>
        <w:pStyle w:val="NoSpacing"/>
        <w:jc w:val="both"/>
        <w:rPr>
          <w:rFonts w:ascii="Times New Roman"/>
          <w:b/>
          <w:sz w:val="24"/>
          <w:szCs w:val="24"/>
        </w:rPr>
        <w:sectPr w:rsidR="00DA7AA4" w:rsidSect="000B7014">
          <w:footerReference w:type="default" r:id="rId9"/>
          <w:pgSz w:w="12240" w:h="15840"/>
          <w:pgMar w:top="1440" w:right="1440" w:bottom="1440" w:left="1440" w:header="720" w:footer="720" w:gutter="0"/>
          <w:cols w:space="720"/>
          <w:docGrid w:linePitch="326"/>
        </w:sectPr>
      </w:pPr>
    </w:p>
    <w:p w:rsidR="00D33DB0" w:rsidRDefault="00D33DB0" w:rsidP="00DA7AA4">
      <w:pPr>
        <w:pStyle w:val="NoSpacing"/>
        <w:spacing w:line="276" w:lineRule="auto"/>
        <w:jc w:val="both"/>
        <w:rPr>
          <w:rFonts w:ascii="Times New Roman"/>
          <w:b/>
          <w:sz w:val="20"/>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AD3794" w:rsidRDefault="00AD3794" w:rsidP="00DA7AA4">
      <w:pPr>
        <w:pStyle w:val="NoSpacing"/>
        <w:spacing w:line="276" w:lineRule="auto"/>
        <w:jc w:val="both"/>
        <w:rPr>
          <w:rFonts w:ascii="Times New Roman"/>
          <w:b/>
          <w:sz w:val="24"/>
          <w:szCs w:val="20"/>
        </w:rPr>
      </w:pPr>
    </w:p>
    <w:p w:rsidR="009618CE" w:rsidRPr="001D01CA" w:rsidRDefault="00A374FE" w:rsidP="00DA7AA4">
      <w:pPr>
        <w:pStyle w:val="NoSpacing"/>
        <w:spacing w:line="276" w:lineRule="auto"/>
        <w:jc w:val="both"/>
        <w:rPr>
          <w:rFonts w:ascii="Times New Roman"/>
          <w:b/>
          <w:sz w:val="24"/>
          <w:szCs w:val="20"/>
        </w:rPr>
      </w:pPr>
      <w:r w:rsidRPr="001D01CA">
        <w:rPr>
          <w:rFonts w:ascii="Times New Roman"/>
          <w:b/>
          <w:sz w:val="24"/>
          <w:szCs w:val="20"/>
        </w:rPr>
        <w:lastRenderedPageBreak/>
        <w:t>Introduction</w:t>
      </w:r>
    </w:p>
    <w:p w:rsidR="00D904F4" w:rsidRPr="00DA7AA4" w:rsidRDefault="00E42DAC" w:rsidP="00DA7AA4">
      <w:pPr>
        <w:pStyle w:val="NoSpacing"/>
        <w:spacing w:line="276" w:lineRule="auto"/>
        <w:jc w:val="both"/>
        <w:rPr>
          <w:rFonts w:ascii="Times New Roman"/>
          <w:sz w:val="20"/>
          <w:szCs w:val="20"/>
        </w:rPr>
      </w:pPr>
      <w:r w:rsidRPr="00DA7AA4">
        <w:rPr>
          <w:rFonts w:ascii="Times New Roman"/>
          <w:sz w:val="20"/>
          <w:szCs w:val="20"/>
        </w:rPr>
        <w:t xml:space="preserve">In the past two decades, the mobile telecommunication industry has seen the </w:t>
      </w:r>
      <w:r w:rsidR="005C2A57" w:rsidRPr="00DA7AA4">
        <w:rPr>
          <w:rFonts w:ascii="Times New Roman"/>
          <w:sz w:val="20"/>
          <w:szCs w:val="20"/>
        </w:rPr>
        <w:t xml:space="preserve">innovation of </w:t>
      </w:r>
      <w:r w:rsidRPr="00DA7AA4">
        <w:rPr>
          <w:rFonts w:ascii="Times New Roman"/>
          <w:sz w:val="20"/>
          <w:szCs w:val="20"/>
        </w:rPr>
        <w:t>mobile number portability (MNP) policy an</w:t>
      </w:r>
      <w:r w:rsidR="00B92CDD" w:rsidRPr="00DA7AA4">
        <w:rPr>
          <w:rFonts w:ascii="Times New Roman"/>
          <w:sz w:val="20"/>
          <w:szCs w:val="20"/>
        </w:rPr>
        <w:t xml:space="preserve">d </w:t>
      </w:r>
      <w:r w:rsidR="005C2A57" w:rsidRPr="00DA7AA4">
        <w:rPr>
          <w:rFonts w:ascii="Times New Roman"/>
          <w:sz w:val="20"/>
          <w:szCs w:val="20"/>
        </w:rPr>
        <w:t xml:space="preserve">its </w:t>
      </w:r>
      <w:r w:rsidR="009123D3" w:rsidRPr="00DA7AA4">
        <w:rPr>
          <w:rFonts w:ascii="Times New Roman"/>
          <w:sz w:val="20"/>
          <w:szCs w:val="20"/>
        </w:rPr>
        <w:t>implementation in both</w:t>
      </w:r>
      <w:r w:rsidR="00B92CDD" w:rsidRPr="00DA7AA4">
        <w:rPr>
          <w:rFonts w:ascii="Times New Roman"/>
          <w:sz w:val="20"/>
          <w:szCs w:val="20"/>
        </w:rPr>
        <w:t xml:space="preserve"> developed and developing countries</w:t>
      </w:r>
      <w:r w:rsidRPr="00DA7AA4">
        <w:rPr>
          <w:rFonts w:ascii="Times New Roman"/>
          <w:sz w:val="20"/>
          <w:szCs w:val="20"/>
        </w:rPr>
        <w:t xml:space="preserve">. The MNP innovation </w:t>
      </w:r>
      <w:r w:rsidR="00E33914" w:rsidRPr="00DA7AA4">
        <w:rPr>
          <w:rFonts w:ascii="Times New Roman"/>
          <w:sz w:val="20"/>
          <w:szCs w:val="20"/>
        </w:rPr>
        <w:t xml:space="preserve">simply </w:t>
      </w:r>
      <w:r w:rsidRPr="00DA7AA4">
        <w:rPr>
          <w:rFonts w:ascii="Times New Roman"/>
          <w:sz w:val="20"/>
          <w:szCs w:val="20"/>
        </w:rPr>
        <w:t>allows mobile subscribers to retain their mobile SIM numbers while changing to use other service providers such as voice</w:t>
      </w:r>
      <w:r w:rsidR="00E33914" w:rsidRPr="00DA7AA4">
        <w:rPr>
          <w:rFonts w:ascii="Times New Roman"/>
          <w:sz w:val="20"/>
          <w:szCs w:val="20"/>
        </w:rPr>
        <w:t xml:space="preserve"> calls. MNP facility is intended to enhance </w:t>
      </w:r>
      <w:r w:rsidRPr="00DA7AA4">
        <w:rPr>
          <w:rFonts w:ascii="Times New Roman"/>
          <w:sz w:val="20"/>
          <w:szCs w:val="20"/>
        </w:rPr>
        <w:t xml:space="preserve">effective service delivery </w:t>
      </w:r>
      <w:r w:rsidR="00E33914" w:rsidRPr="00DA7AA4">
        <w:rPr>
          <w:rFonts w:ascii="Times New Roman"/>
          <w:sz w:val="20"/>
          <w:szCs w:val="20"/>
        </w:rPr>
        <w:t xml:space="preserve">by mobile operators and to </w:t>
      </w:r>
      <w:r w:rsidRPr="00DA7AA4">
        <w:rPr>
          <w:rFonts w:ascii="Times New Roman"/>
          <w:sz w:val="20"/>
          <w:szCs w:val="20"/>
        </w:rPr>
        <w:t xml:space="preserve">provide consumers considerable freedom to switch between and among service providers in an attempt to increase consumer empowerment (Buehler </w:t>
      </w:r>
      <w:r w:rsidR="00646D41">
        <w:rPr>
          <w:rFonts w:ascii="Times New Roman"/>
          <w:sz w:val="20"/>
          <w:szCs w:val="20"/>
        </w:rPr>
        <w:t>and</w:t>
      </w:r>
      <w:r w:rsidR="008D06BE">
        <w:rPr>
          <w:rFonts w:ascii="Times New Roman"/>
          <w:sz w:val="20"/>
          <w:szCs w:val="20"/>
        </w:rPr>
        <w:t xml:space="preserve"> </w:t>
      </w:r>
      <w:proofErr w:type="spellStart"/>
      <w:r w:rsidR="008D06BE">
        <w:rPr>
          <w:rFonts w:ascii="Times New Roman"/>
          <w:sz w:val="20"/>
          <w:szCs w:val="20"/>
        </w:rPr>
        <w:t>Haucap</w:t>
      </w:r>
      <w:proofErr w:type="spellEnd"/>
      <w:r w:rsidRPr="00DA7AA4">
        <w:rPr>
          <w:rFonts w:ascii="Times New Roman"/>
          <w:sz w:val="20"/>
          <w:szCs w:val="20"/>
        </w:rPr>
        <w:t xml:space="preserve"> 2004; Lin, </w:t>
      </w:r>
      <w:proofErr w:type="spellStart"/>
      <w:r w:rsidRPr="00DA7AA4">
        <w:rPr>
          <w:rFonts w:ascii="Times New Roman"/>
          <w:sz w:val="20"/>
          <w:szCs w:val="20"/>
        </w:rPr>
        <w:t>Chlamtac</w:t>
      </w:r>
      <w:proofErr w:type="spellEnd"/>
      <w:r w:rsidRPr="00DA7AA4">
        <w:rPr>
          <w:rFonts w:ascii="Times New Roman"/>
          <w:sz w:val="20"/>
          <w:szCs w:val="20"/>
        </w:rPr>
        <w:t xml:space="preserve">, </w:t>
      </w:r>
      <w:r w:rsidR="00646D41">
        <w:rPr>
          <w:rFonts w:ascii="Times New Roman"/>
          <w:sz w:val="20"/>
          <w:szCs w:val="20"/>
        </w:rPr>
        <w:t>and</w:t>
      </w:r>
      <w:r w:rsidR="008D06BE">
        <w:rPr>
          <w:rFonts w:ascii="Times New Roman"/>
          <w:sz w:val="20"/>
          <w:szCs w:val="20"/>
        </w:rPr>
        <w:t xml:space="preserve"> Yu 2003; </w:t>
      </w:r>
      <w:proofErr w:type="spellStart"/>
      <w:r w:rsidR="008D06BE">
        <w:rPr>
          <w:rFonts w:ascii="Times New Roman"/>
          <w:sz w:val="20"/>
          <w:szCs w:val="20"/>
        </w:rPr>
        <w:t>Reinke</w:t>
      </w:r>
      <w:proofErr w:type="spellEnd"/>
      <w:r w:rsidRPr="00DA7AA4">
        <w:rPr>
          <w:rFonts w:ascii="Times New Roman"/>
          <w:sz w:val="20"/>
          <w:szCs w:val="20"/>
        </w:rPr>
        <w:t xml:space="preserve"> 1998). </w:t>
      </w:r>
    </w:p>
    <w:p w:rsidR="00D904F4" w:rsidRPr="00DA7AA4" w:rsidRDefault="00D904F4" w:rsidP="00DA7AA4">
      <w:pPr>
        <w:pStyle w:val="NoSpacing"/>
        <w:spacing w:line="276" w:lineRule="auto"/>
        <w:jc w:val="both"/>
        <w:rPr>
          <w:rFonts w:ascii="Times New Roman"/>
          <w:sz w:val="20"/>
          <w:szCs w:val="20"/>
        </w:rPr>
      </w:pPr>
      <w:r w:rsidRPr="00DA7AA4">
        <w:rPr>
          <w:rFonts w:ascii="Times New Roman"/>
          <w:sz w:val="20"/>
          <w:szCs w:val="20"/>
        </w:rPr>
        <w:t>MNP was first introduced in Singapore in 1997, followed by UK, Hong Kong and the Netherlands i</w:t>
      </w:r>
      <w:r w:rsidR="00E33914" w:rsidRPr="00DA7AA4">
        <w:rPr>
          <w:rFonts w:ascii="Times New Roman"/>
          <w:sz w:val="20"/>
          <w:szCs w:val="20"/>
        </w:rPr>
        <w:t xml:space="preserve">n 1999. As of 2013, a number of other countries </w:t>
      </w:r>
      <w:r w:rsidRPr="00DA7AA4">
        <w:rPr>
          <w:rFonts w:ascii="Times New Roman"/>
          <w:sz w:val="20"/>
          <w:szCs w:val="20"/>
        </w:rPr>
        <w:t xml:space="preserve">across the globe have successfully introduced MNP in their telecom industry (Buehler </w:t>
      </w:r>
      <w:r w:rsidR="00646D41">
        <w:rPr>
          <w:rFonts w:ascii="Times New Roman"/>
          <w:sz w:val="20"/>
          <w:szCs w:val="20"/>
        </w:rPr>
        <w:t>and</w:t>
      </w:r>
      <w:r w:rsidR="008D06BE">
        <w:rPr>
          <w:rFonts w:ascii="Times New Roman"/>
          <w:sz w:val="20"/>
          <w:szCs w:val="20"/>
        </w:rPr>
        <w:t xml:space="preserve"> </w:t>
      </w:r>
      <w:proofErr w:type="spellStart"/>
      <w:r w:rsidR="008D06BE">
        <w:rPr>
          <w:rFonts w:ascii="Times New Roman"/>
          <w:sz w:val="20"/>
          <w:szCs w:val="20"/>
        </w:rPr>
        <w:t>Haucap</w:t>
      </w:r>
      <w:proofErr w:type="spellEnd"/>
      <w:r w:rsidR="008D06BE">
        <w:rPr>
          <w:rFonts w:ascii="Times New Roman"/>
          <w:sz w:val="20"/>
          <w:szCs w:val="20"/>
        </w:rPr>
        <w:t xml:space="preserve"> 2004; </w:t>
      </w:r>
      <w:proofErr w:type="spellStart"/>
      <w:r w:rsidR="008D06BE">
        <w:rPr>
          <w:rFonts w:ascii="Times New Roman"/>
          <w:sz w:val="20"/>
          <w:szCs w:val="20"/>
        </w:rPr>
        <w:t>Larkotey</w:t>
      </w:r>
      <w:proofErr w:type="spellEnd"/>
      <w:r w:rsidR="008D06BE">
        <w:rPr>
          <w:rFonts w:ascii="Times New Roman"/>
          <w:sz w:val="20"/>
          <w:szCs w:val="20"/>
        </w:rPr>
        <w:t xml:space="preserve"> et al. 2012; </w:t>
      </w:r>
      <w:proofErr w:type="spellStart"/>
      <w:r w:rsidR="008D06BE">
        <w:rPr>
          <w:rFonts w:ascii="Times New Roman"/>
          <w:sz w:val="20"/>
          <w:szCs w:val="20"/>
        </w:rPr>
        <w:t>Odunaike</w:t>
      </w:r>
      <w:proofErr w:type="spellEnd"/>
      <w:r w:rsidRPr="00DA7AA4">
        <w:rPr>
          <w:rFonts w:ascii="Times New Roman"/>
          <w:sz w:val="20"/>
          <w:szCs w:val="20"/>
        </w:rPr>
        <w:t xml:space="preserve"> 2010; </w:t>
      </w:r>
      <w:proofErr w:type="spellStart"/>
      <w:r w:rsidRPr="00DA7AA4">
        <w:rPr>
          <w:rFonts w:ascii="Times New Roman"/>
          <w:sz w:val="20"/>
          <w:szCs w:val="20"/>
        </w:rPr>
        <w:t>Tiamiyu</w:t>
      </w:r>
      <w:proofErr w:type="spellEnd"/>
      <w:r w:rsidRPr="00DA7AA4">
        <w:rPr>
          <w:rFonts w:ascii="Times New Roman"/>
          <w:sz w:val="20"/>
          <w:szCs w:val="20"/>
        </w:rPr>
        <w:t xml:space="preserve"> </w:t>
      </w:r>
      <w:r w:rsidR="00646D41">
        <w:rPr>
          <w:rFonts w:ascii="Times New Roman"/>
          <w:sz w:val="20"/>
          <w:szCs w:val="20"/>
        </w:rPr>
        <w:t>and</w:t>
      </w:r>
      <w:r w:rsidR="008D06BE">
        <w:rPr>
          <w:rFonts w:ascii="Times New Roman"/>
          <w:sz w:val="20"/>
          <w:szCs w:val="20"/>
        </w:rPr>
        <w:t xml:space="preserve"> </w:t>
      </w:r>
      <w:proofErr w:type="spellStart"/>
      <w:r w:rsidR="008D06BE">
        <w:rPr>
          <w:rFonts w:ascii="Times New Roman"/>
          <w:sz w:val="20"/>
          <w:szCs w:val="20"/>
        </w:rPr>
        <w:t>Mejabi</w:t>
      </w:r>
      <w:proofErr w:type="spellEnd"/>
      <w:r w:rsidRPr="00DA7AA4">
        <w:rPr>
          <w:rFonts w:ascii="Times New Roman"/>
          <w:sz w:val="20"/>
          <w:szCs w:val="20"/>
        </w:rPr>
        <w:t xml:space="preserve"> 2012). In Africa, MNP has been implemented in countries such as Egypt, Ghana, Nigeria, Kenya, and South Africa. In West Africa, Ghana was the first to introduce the MNP policy followed by Nigeria.</w:t>
      </w:r>
    </w:p>
    <w:p w:rsidR="00D904F4" w:rsidRPr="00DA7AA4" w:rsidRDefault="00D904F4" w:rsidP="00DA7AA4">
      <w:pPr>
        <w:pStyle w:val="NoSpacing"/>
        <w:spacing w:line="276" w:lineRule="auto"/>
        <w:jc w:val="both"/>
        <w:rPr>
          <w:rFonts w:ascii="Times New Roman"/>
          <w:sz w:val="20"/>
          <w:szCs w:val="20"/>
        </w:rPr>
      </w:pPr>
      <w:r w:rsidRPr="00DA7AA4">
        <w:rPr>
          <w:rFonts w:ascii="Times New Roman"/>
          <w:sz w:val="20"/>
          <w:szCs w:val="20"/>
        </w:rPr>
        <w:t>In Ghana, the MNP policy was officially launched in Ghana</w:t>
      </w:r>
      <w:r w:rsidRPr="00DA7AA4">
        <w:rPr>
          <w:rFonts w:ascii="Times New Roman"/>
          <w:sz w:val="20"/>
          <w:szCs w:val="20"/>
        </w:rPr>
        <w:t>’</w:t>
      </w:r>
      <w:r w:rsidRPr="00DA7AA4">
        <w:rPr>
          <w:rFonts w:ascii="Times New Roman"/>
          <w:sz w:val="20"/>
          <w:szCs w:val="20"/>
        </w:rPr>
        <w:t>s mobile telecommunica</w:t>
      </w:r>
      <w:r w:rsidR="008D06BE">
        <w:rPr>
          <w:rFonts w:ascii="Times New Roman"/>
          <w:sz w:val="20"/>
          <w:szCs w:val="20"/>
        </w:rPr>
        <w:t xml:space="preserve">tion industry (GMTI) on July 7, </w:t>
      </w:r>
      <w:r w:rsidRPr="00DA7AA4">
        <w:rPr>
          <w:rFonts w:ascii="Times New Roman"/>
          <w:sz w:val="20"/>
          <w:szCs w:val="20"/>
        </w:rPr>
        <w:t>2011</w:t>
      </w:r>
      <w:r w:rsidR="008D06BE">
        <w:rPr>
          <w:rFonts w:ascii="Times New Roman"/>
          <w:sz w:val="20"/>
          <w:szCs w:val="20"/>
        </w:rPr>
        <w:t xml:space="preserve"> (NCA</w:t>
      </w:r>
      <w:r w:rsidR="007B5DB2" w:rsidRPr="00DA7AA4">
        <w:rPr>
          <w:rFonts w:ascii="Times New Roman"/>
          <w:sz w:val="20"/>
          <w:szCs w:val="20"/>
        </w:rPr>
        <w:t xml:space="preserve"> 2012)</w:t>
      </w:r>
      <w:r w:rsidRPr="00DA7AA4">
        <w:rPr>
          <w:rFonts w:ascii="Times New Roman"/>
          <w:sz w:val="20"/>
          <w:szCs w:val="20"/>
        </w:rPr>
        <w:t xml:space="preserve">. This was done by National Communication Authority </w:t>
      </w:r>
      <w:r w:rsidR="00FD461C" w:rsidRPr="00DA7AA4">
        <w:rPr>
          <w:rFonts w:ascii="Times New Roman"/>
          <w:sz w:val="20"/>
          <w:szCs w:val="20"/>
        </w:rPr>
        <w:t>(NCA), the industry regulator,</w:t>
      </w:r>
      <w:r w:rsidRPr="00DA7AA4">
        <w:rPr>
          <w:rFonts w:ascii="Times New Roman"/>
          <w:sz w:val="20"/>
          <w:szCs w:val="20"/>
        </w:rPr>
        <w:t xml:space="preserve"> in </w:t>
      </w:r>
      <w:r w:rsidR="00FD461C" w:rsidRPr="00DA7AA4">
        <w:rPr>
          <w:rFonts w:ascii="Times New Roman"/>
          <w:sz w:val="20"/>
          <w:szCs w:val="20"/>
        </w:rPr>
        <w:t xml:space="preserve">close </w:t>
      </w:r>
      <w:r w:rsidRPr="00DA7AA4">
        <w:rPr>
          <w:rFonts w:ascii="Times New Roman"/>
          <w:sz w:val="20"/>
          <w:szCs w:val="20"/>
        </w:rPr>
        <w:t xml:space="preserve">collaboration with the mobile telecom operators. </w:t>
      </w:r>
      <w:r w:rsidR="003B42F8" w:rsidRPr="00DA7AA4">
        <w:rPr>
          <w:rFonts w:ascii="Times New Roman"/>
          <w:sz w:val="20"/>
          <w:szCs w:val="20"/>
        </w:rPr>
        <w:t>T</w:t>
      </w:r>
      <w:r w:rsidRPr="00DA7AA4">
        <w:rPr>
          <w:rFonts w:ascii="Times New Roman"/>
          <w:sz w:val="20"/>
          <w:szCs w:val="20"/>
        </w:rPr>
        <w:t>here are six mobile telecom br</w:t>
      </w:r>
      <w:r w:rsidR="003B42F8" w:rsidRPr="00DA7AA4">
        <w:rPr>
          <w:rFonts w:ascii="Times New Roman"/>
          <w:sz w:val="20"/>
          <w:szCs w:val="20"/>
        </w:rPr>
        <w:t xml:space="preserve">ands and operators, namely, MTN, </w:t>
      </w:r>
      <w:proofErr w:type="spellStart"/>
      <w:r w:rsidR="003B42F8" w:rsidRPr="00DA7AA4">
        <w:rPr>
          <w:rFonts w:ascii="Times New Roman"/>
          <w:sz w:val="20"/>
          <w:szCs w:val="20"/>
        </w:rPr>
        <w:t>Tigo</w:t>
      </w:r>
      <w:proofErr w:type="spellEnd"/>
      <w:r w:rsidR="003B42F8" w:rsidRPr="00DA7AA4">
        <w:rPr>
          <w:rFonts w:ascii="Times New Roman"/>
          <w:sz w:val="20"/>
          <w:szCs w:val="20"/>
        </w:rPr>
        <w:t xml:space="preserve">, </w:t>
      </w:r>
      <w:proofErr w:type="spellStart"/>
      <w:r w:rsidR="003B42F8" w:rsidRPr="00DA7AA4">
        <w:rPr>
          <w:rFonts w:ascii="Times New Roman"/>
          <w:sz w:val="20"/>
          <w:szCs w:val="20"/>
        </w:rPr>
        <w:t>Kasapa</w:t>
      </w:r>
      <w:proofErr w:type="spellEnd"/>
      <w:r w:rsidR="003B42F8" w:rsidRPr="00DA7AA4">
        <w:rPr>
          <w:rFonts w:ascii="Times New Roman"/>
          <w:sz w:val="20"/>
          <w:szCs w:val="20"/>
        </w:rPr>
        <w:t>, Vodafone</w:t>
      </w:r>
      <w:r w:rsidRPr="00DA7AA4">
        <w:rPr>
          <w:rFonts w:ascii="Times New Roman"/>
          <w:sz w:val="20"/>
          <w:szCs w:val="20"/>
        </w:rPr>
        <w:t>, A</w:t>
      </w:r>
      <w:r w:rsidR="003B42F8" w:rsidRPr="00DA7AA4">
        <w:rPr>
          <w:rFonts w:ascii="Times New Roman"/>
          <w:sz w:val="20"/>
          <w:szCs w:val="20"/>
        </w:rPr>
        <w:t>irtel</w:t>
      </w:r>
      <w:r w:rsidR="008D06BE">
        <w:rPr>
          <w:rFonts w:ascii="Times New Roman"/>
          <w:sz w:val="20"/>
          <w:szCs w:val="20"/>
        </w:rPr>
        <w:t xml:space="preserve"> and </w:t>
      </w:r>
      <w:proofErr w:type="spellStart"/>
      <w:r w:rsidR="008D06BE">
        <w:rPr>
          <w:rFonts w:ascii="Times New Roman"/>
          <w:sz w:val="20"/>
          <w:szCs w:val="20"/>
        </w:rPr>
        <w:t>Glo</w:t>
      </w:r>
      <w:proofErr w:type="spellEnd"/>
      <w:r w:rsidR="008D06BE">
        <w:rPr>
          <w:rFonts w:ascii="Times New Roman"/>
          <w:sz w:val="20"/>
          <w:szCs w:val="20"/>
        </w:rPr>
        <w:t xml:space="preserve"> (NCA</w:t>
      </w:r>
      <w:r w:rsidR="004264EB">
        <w:rPr>
          <w:rFonts w:ascii="Times New Roman"/>
          <w:sz w:val="20"/>
          <w:szCs w:val="20"/>
        </w:rPr>
        <w:t xml:space="preserve">, </w:t>
      </w:r>
      <w:r w:rsidRPr="00DA7AA4">
        <w:rPr>
          <w:rFonts w:ascii="Times New Roman"/>
          <w:sz w:val="20"/>
          <w:szCs w:val="20"/>
        </w:rPr>
        <w:t xml:space="preserve">2013). </w:t>
      </w:r>
      <w:r w:rsidR="003B42F8" w:rsidRPr="00DA7AA4">
        <w:rPr>
          <w:rFonts w:ascii="Times New Roman"/>
          <w:sz w:val="20"/>
          <w:szCs w:val="20"/>
        </w:rPr>
        <w:t>MNP</w:t>
      </w:r>
      <w:r w:rsidRPr="00DA7AA4">
        <w:rPr>
          <w:rFonts w:ascii="Times New Roman"/>
          <w:sz w:val="20"/>
          <w:szCs w:val="20"/>
        </w:rPr>
        <w:t xml:space="preserve"> system in Ghana allows mobile subscribers to change from one network to another without changing any part of</w:t>
      </w:r>
      <w:r w:rsidR="008D06BE">
        <w:rPr>
          <w:rFonts w:ascii="Times New Roman"/>
          <w:sz w:val="20"/>
          <w:szCs w:val="20"/>
        </w:rPr>
        <w:t xml:space="preserve"> their mobile number (NCA</w:t>
      </w:r>
      <w:r w:rsidR="004264EB">
        <w:rPr>
          <w:rFonts w:ascii="Times New Roman"/>
          <w:sz w:val="20"/>
          <w:szCs w:val="20"/>
        </w:rPr>
        <w:t xml:space="preserve">, </w:t>
      </w:r>
      <w:r w:rsidRPr="00DA7AA4">
        <w:rPr>
          <w:rFonts w:ascii="Times New Roman"/>
          <w:sz w:val="20"/>
          <w:szCs w:val="20"/>
        </w:rPr>
        <w:t xml:space="preserve">2013). </w:t>
      </w:r>
      <w:r w:rsidR="006C3572" w:rsidRPr="00DA7AA4">
        <w:rPr>
          <w:rFonts w:ascii="Times New Roman"/>
          <w:sz w:val="20"/>
          <w:szCs w:val="20"/>
        </w:rPr>
        <w:t xml:space="preserve">The NCA (2013) report shows that </w:t>
      </w:r>
      <w:r w:rsidRPr="00DA7AA4">
        <w:rPr>
          <w:rFonts w:ascii="Times New Roman"/>
          <w:sz w:val="20"/>
          <w:szCs w:val="20"/>
        </w:rPr>
        <w:t>817, 202 mobile numbers were successfully ported by</w:t>
      </w:r>
      <w:r w:rsidR="006C3572" w:rsidRPr="00DA7AA4">
        <w:rPr>
          <w:rFonts w:ascii="Times New Roman"/>
          <w:sz w:val="20"/>
          <w:szCs w:val="20"/>
        </w:rPr>
        <w:t xml:space="preserve"> the end of the second year since MNP was introduced. This figure</w:t>
      </w:r>
      <w:r w:rsidRPr="00DA7AA4">
        <w:rPr>
          <w:rFonts w:ascii="Times New Roman"/>
          <w:sz w:val="20"/>
          <w:szCs w:val="20"/>
        </w:rPr>
        <w:t xml:space="preserve"> </w:t>
      </w:r>
      <w:r w:rsidR="006C3572" w:rsidRPr="00DA7AA4">
        <w:rPr>
          <w:rFonts w:ascii="Times New Roman"/>
          <w:sz w:val="20"/>
          <w:szCs w:val="20"/>
        </w:rPr>
        <w:t xml:space="preserve">represents </w:t>
      </w:r>
      <w:r w:rsidRPr="00DA7AA4">
        <w:rPr>
          <w:rFonts w:ascii="Times New Roman"/>
          <w:sz w:val="20"/>
          <w:szCs w:val="20"/>
        </w:rPr>
        <w:t>1.6% of the total active mobile numbers in Gha</w:t>
      </w:r>
      <w:r w:rsidR="006C3572" w:rsidRPr="00DA7AA4">
        <w:rPr>
          <w:rFonts w:ascii="Times New Roman"/>
          <w:sz w:val="20"/>
          <w:szCs w:val="20"/>
        </w:rPr>
        <w:t xml:space="preserve">na. According to the report, </w:t>
      </w:r>
      <w:r w:rsidRPr="00DA7AA4">
        <w:rPr>
          <w:rFonts w:ascii="Times New Roman"/>
          <w:sz w:val="20"/>
          <w:szCs w:val="20"/>
        </w:rPr>
        <w:t xml:space="preserve">majority of </w:t>
      </w:r>
      <w:r w:rsidR="006C3572" w:rsidRPr="00DA7AA4">
        <w:rPr>
          <w:rFonts w:ascii="Times New Roman"/>
          <w:sz w:val="20"/>
          <w:szCs w:val="20"/>
        </w:rPr>
        <w:t xml:space="preserve">the </w:t>
      </w:r>
      <w:r w:rsidRPr="00DA7AA4">
        <w:rPr>
          <w:rFonts w:ascii="Times New Roman"/>
          <w:sz w:val="20"/>
          <w:szCs w:val="20"/>
        </w:rPr>
        <w:t xml:space="preserve">customers who have ported </w:t>
      </w:r>
      <w:r w:rsidR="006C3572" w:rsidRPr="00DA7AA4">
        <w:rPr>
          <w:rFonts w:ascii="Times New Roman"/>
          <w:sz w:val="20"/>
          <w:szCs w:val="20"/>
        </w:rPr>
        <w:t xml:space="preserve">their mobile numbers </w:t>
      </w:r>
      <w:r w:rsidRPr="00DA7AA4">
        <w:rPr>
          <w:rFonts w:ascii="Times New Roman"/>
          <w:sz w:val="20"/>
          <w:szCs w:val="20"/>
        </w:rPr>
        <w:t>have remained on their network</w:t>
      </w:r>
      <w:r w:rsidR="006C3572" w:rsidRPr="00DA7AA4">
        <w:rPr>
          <w:rFonts w:ascii="Times New Roman"/>
          <w:sz w:val="20"/>
          <w:szCs w:val="20"/>
        </w:rPr>
        <w:t xml:space="preserve"> </w:t>
      </w:r>
      <w:r w:rsidRPr="00DA7AA4">
        <w:rPr>
          <w:rFonts w:ascii="Times New Roman"/>
          <w:sz w:val="20"/>
          <w:szCs w:val="20"/>
        </w:rPr>
        <w:t xml:space="preserve">which they </w:t>
      </w:r>
      <w:r w:rsidR="006C3572" w:rsidRPr="00DA7AA4">
        <w:rPr>
          <w:rFonts w:ascii="Times New Roman"/>
          <w:sz w:val="20"/>
          <w:szCs w:val="20"/>
        </w:rPr>
        <w:t>switched to</w:t>
      </w:r>
      <w:r w:rsidR="00EE7654" w:rsidRPr="00DA7AA4">
        <w:rPr>
          <w:rFonts w:ascii="Times New Roman"/>
          <w:sz w:val="20"/>
          <w:szCs w:val="20"/>
        </w:rPr>
        <w:t>.</w:t>
      </w:r>
      <w:r w:rsidRPr="00DA7AA4">
        <w:rPr>
          <w:rFonts w:ascii="Times New Roman"/>
          <w:sz w:val="20"/>
          <w:szCs w:val="20"/>
        </w:rPr>
        <w:t xml:space="preserve"> </w:t>
      </w:r>
      <w:r w:rsidR="00EE7654" w:rsidRPr="00DA7AA4">
        <w:rPr>
          <w:rFonts w:ascii="Times New Roman"/>
          <w:sz w:val="20"/>
          <w:szCs w:val="20"/>
        </w:rPr>
        <w:t>T</w:t>
      </w:r>
      <w:r w:rsidRPr="00DA7AA4">
        <w:rPr>
          <w:rFonts w:ascii="Times New Roman"/>
          <w:sz w:val="20"/>
          <w:szCs w:val="20"/>
        </w:rPr>
        <w:t xml:space="preserve">hey indicated </w:t>
      </w:r>
      <w:r w:rsidR="00EE7654" w:rsidRPr="00DA7AA4">
        <w:rPr>
          <w:rFonts w:ascii="Times New Roman"/>
          <w:sz w:val="20"/>
          <w:szCs w:val="20"/>
        </w:rPr>
        <w:t xml:space="preserve">that they were also satisfied </w:t>
      </w:r>
      <w:r w:rsidRPr="00DA7AA4">
        <w:rPr>
          <w:rFonts w:ascii="Times New Roman"/>
          <w:sz w:val="20"/>
          <w:szCs w:val="20"/>
        </w:rPr>
        <w:t>with the process and the choice they made. The rate of success of porting requests submitted rose from 75% to 82%, with an average porting speed of 5 minutes 25 seconds between 2012 and 2013.</w:t>
      </w:r>
    </w:p>
    <w:p w:rsidR="0003063E" w:rsidRPr="00DA7AA4" w:rsidRDefault="0003063E" w:rsidP="00DA7AA4">
      <w:pPr>
        <w:pStyle w:val="NoSpacing"/>
        <w:spacing w:line="276" w:lineRule="auto"/>
        <w:jc w:val="both"/>
        <w:rPr>
          <w:rFonts w:ascii="Times New Roman"/>
          <w:sz w:val="20"/>
          <w:szCs w:val="20"/>
        </w:rPr>
      </w:pPr>
    </w:p>
    <w:p w:rsidR="00D904F4" w:rsidRPr="00DA7AA4" w:rsidRDefault="00EE7654" w:rsidP="00DA7AA4">
      <w:pPr>
        <w:pStyle w:val="NoSpacing"/>
        <w:spacing w:line="276" w:lineRule="auto"/>
        <w:jc w:val="both"/>
        <w:rPr>
          <w:rFonts w:ascii="Times New Roman"/>
          <w:sz w:val="20"/>
          <w:szCs w:val="20"/>
        </w:rPr>
      </w:pPr>
      <w:r w:rsidRPr="00DA7AA4">
        <w:rPr>
          <w:rFonts w:ascii="Times New Roman"/>
          <w:sz w:val="20"/>
          <w:szCs w:val="20"/>
        </w:rPr>
        <w:t>By</w:t>
      </w:r>
      <w:r w:rsidR="00D904F4" w:rsidRPr="00DA7AA4">
        <w:rPr>
          <w:rFonts w:ascii="Times New Roman"/>
          <w:sz w:val="20"/>
          <w:szCs w:val="20"/>
        </w:rPr>
        <w:t xml:space="preserve"> September 2013, MTN </w:t>
      </w:r>
      <w:r w:rsidRPr="00DA7AA4">
        <w:rPr>
          <w:rFonts w:ascii="Times New Roman"/>
          <w:sz w:val="20"/>
          <w:szCs w:val="20"/>
        </w:rPr>
        <w:t xml:space="preserve">had </w:t>
      </w:r>
      <w:r w:rsidR="00D904F4" w:rsidRPr="00DA7AA4">
        <w:rPr>
          <w:rFonts w:ascii="Times New Roman"/>
          <w:sz w:val="20"/>
          <w:szCs w:val="20"/>
        </w:rPr>
        <w:t>loss</w:t>
      </w:r>
      <w:r w:rsidRPr="00DA7AA4">
        <w:rPr>
          <w:rFonts w:ascii="Times New Roman"/>
          <w:sz w:val="20"/>
          <w:szCs w:val="20"/>
        </w:rPr>
        <w:t xml:space="preserve"> of 275, 963,</w:t>
      </w:r>
      <w:r w:rsidR="00D904F4" w:rsidRPr="00DA7AA4">
        <w:rPr>
          <w:rFonts w:ascii="Times New Roman"/>
          <w:sz w:val="20"/>
          <w:szCs w:val="20"/>
        </w:rPr>
        <w:t xml:space="preserve"> representing 2.19% of their customer base while </w:t>
      </w:r>
      <w:proofErr w:type="spellStart"/>
      <w:r w:rsidR="00D904F4" w:rsidRPr="00DA7AA4">
        <w:rPr>
          <w:rFonts w:ascii="Times New Roman"/>
          <w:sz w:val="20"/>
          <w:szCs w:val="20"/>
        </w:rPr>
        <w:t>Tigo</w:t>
      </w:r>
      <w:proofErr w:type="spellEnd"/>
      <w:r w:rsidR="00D904F4" w:rsidRPr="00DA7AA4">
        <w:rPr>
          <w:rFonts w:ascii="Times New Roman"/>
          <w:sz w:val="20"/>
          <w:szCs w:val="20"/>
        </w:rPr>
        <w:t xml:space="preserve"> and Vodafone consistently had great gains in porting representing 5.12% and 1.63% of their customer base respectively. </w:t>
      </w:r>
      <w:r w:rsidR="005C2A57" w:rsidRPr="00DA7AA4">
        <w:rPr>
          <w:rFonts w:ascii="Times New Roman"/>
          <w:sz w:val="20"/>
          <w:szCs w:val="20"/>
        </w:rPr>
        <w:t xml:space="preserve"> According to NCA (</w:t>
      </w:r>
      <w:r w:rsidR="008D06BE">
        <w:rPr>
          <w:rFonts w:ascii="Times New Roman"/>
          <w:sz w:val="20"/>
          <w:szCs w:val="20"/>
        </w:rPr>
        <w:t xml:space="preserve">2012, </w:t>
      </w:r>
      <w:r w:rsidR="00D904F4" w:rsidRPr="00DA7AA4">
        <w:rPr>
          <w:rFonts w:ascii="Times New Roman"/>
          <w:sz w:val="20"/>
          <w:szCs w:val="20"/>
        </w:rPr>
        <w:t>14)</w:t>
      </w:r>
      <w:r w:rsidR="005C2A57" w:rsidRPr="00DA7AA4">
        <w:rPr>
          <w:rFonts w:ascii="Times New Roman"/>
          <w:sz w:val="20"/>
          <w:szCs w:val="20"/>
        </w:rPr>
        <w:t>, one of the key challenges facing the MNP implementation is t</w:t>
      </w:r>
      <w:r w:rsidR="00D904F4" w:rsidRPr="00DA7AA4">
        <w:rPr>
          <w:rFonts w:ascii="Times New Roman"/>
          <w:sz w:val="20"/>
          <w:szCs w:val="20"/>
        </w:rPr>
        <w:t>hat some mobile telecom service providers still experience operational and technical problems that are yet to be resolved. In addition, there is low consumer awareness and education of the facility. Apart from this, NCA</w:t>
      </w:r>
      <w:r w:rsidR="00D904F4" w:rsidRPr="00DA7AA4">
        <w:rPr>
          <w:rFonts w:ascii="Times New Roman"/>
          <w:sz w:val="20"/>
          <w:szCs w:val="20"/>
        </w:rPr>
        <w:t>’</w:t>
      </w:r>
      <w:r w:rsidR="008D06BE">
        <w:rPr>
          <w:rFonts w:ascii="Times New Roman"/>
          <w:sz w:val="20"/>
          <w:szCs w:val="20"/>
        </w:rPr>
        <w:t xml:space="preserve">s (2013, </w:t>
      </w:r>
      <w:r w:rsidR="004264EB">
        <w:rPr>
          <w:rFonts w:ascii="Times New Roman"/>
          <w:sz w:val="20"/>
          <w:szCs w:val="20"/>
        </w:rPr>
        <w:t xml:space="preserve">p. </w:t>
      </w:r>
      <w:r w:rsidR="00D904F4" w:rsidRPr="00DA7AA4">
        <w:rPr>
          <w:rFonts w:ascii="Times New Roman"/>
          <w:sz w:val="20"/>
          <w:szCs w:val="20"/>
        </w:rPr>
        <w:t xml:space="preserve">9) report also reveals that some dubious </w:t>
      </w:r>
      <w:proofErr w:type="spellStart"/>
      <w:r w:rsidR="00D904F4" w:rsidRPr="00DA7AA4">
        <w:rPr>
          <w:rFonts w:ascii="Times New Roman"/>
          <w:sz w:val="20"/>
          <w:szCs w:val="20"/>
        </w:rPr>
        <w:t>behaviour</w:t>
      </w:r>
      <w:proofErr w:type="spellEnd"/>
      <w:r w:rsidR="00D904F4" w:rsidRPr="00DA7AA4">
        <w:rPr>
          <w:rFonts w:ascii="Times New Roman"/>
          <w:sz w:val="20"/>
          <w:szCs w:val="20"/>
        </w:rPr>
        <w:t xml:space="preserve"> by agents of mobile networks has continued as they deceive customers who are not well-educated and knowledgeable in many ways about the policy. </w:t>
      </w:r>
    </w:p>
    <w:p w:rsidR="00D904F4" w:rsidRPr="00DA7AA4" w:rsidRDefault="00D904F4" w:rsidP="00DA7AA4">
      <w:pPr>
        <w:pStyle w:val="NoSpacing"/>
        <w:spacing w:line="276" w:lineRule="auto"/>
        <w:jc w:val="both"/>
        <w:rPr>
          <w:rFonts w:ascii="Times New Roman"/>
          <w:sz w:val="20"/>
          <w:szCs w:val="20"/>
        </w:rPr>
      </w:pPr>
    </w:p>
    <w:p w:rsidR="001B7B18" w:rsidRPr="00DA7AA4" w:rsidRDefault="00EA64AE"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The main problem of this study stems from the fact that </w:t>
      </w:r>
      <w:r w:rsidR="00A8242A">
        <w:rPr>
          <w:rFonts w:ascii="Times New Roman" w:hAnsi="Times New Roman" w:cs="Times New Roman"/>
          <w:sz w:val="20"/>
          <w:szCs w:val="20"/>
        </w:rPr>
        <w:t xml:space="preserve">there is the need to increase scholars’ understanding of consumer </w:t>
      </w:r>
      <w:proofErr w:type="spellStart"/>
      <w:r w:rsidR="00A8242A">
        <w:rPr>
          <w:rFonts w:ascii="Times New Roman" w:hAnsi="Times New Roman" w:cs="Times New Roman"/>
          <w:sz w:val="20"/>
          <w:szCs w:val="20"/>
        </w:rPr>
        <w:t>behavour</w:t>
      </w:r>
      <w:proofErr w:type="spellEnd"/>
      <w:r w:rsidR="00A8242A">
        <w:rPr>
          <w:rFonts w:ascii="Times New Roman" w:hAnsi="Times New Roman" w:cs="Times New Roman"/>
          <w:sz w:val="20"/>
          <w:szCs w:val="20"/>
        </w:rPr>
        <w:t xml:space="preserve"> towards MNP adoption from developing country perspective and provide management and telecom regulators evidence-based research for the effective management of MNP in developing and emerging countries.  </w:t>
      </w:r>
      <w:r w:rsidR="00A8242A" w:rsidRPr="00DA7AA4">
        <w:rPr>
          <w:rFonts w:ascii="Times New Roman" w:hAnsi="Times New Roman" w:cs="Times New Roman"/>
          <w:sz w:val="20"/>
          <w:szCs w:val="20"/>
        </w:rPr>
        <w:t>T</w:t>
      </w:r>
      <w:r w:rsidRPr="00DA7AA4">
        <w:rPr>
          <w:rFonts w:ascii="Times New Roman" w:hAnsi="Times New Roman" w:cs="Times New Roman"/>
          <w:sz w:val="20"/>
          <w:szCs w:val="20"/>
        </w:rPr>
        <w:t xml:space="preserve">here is very little empirical research on consumer </w:t>
      </w:r>
      <w:proofErr w:type="spellStart"/>
      <w:r w:rsidRPr="00DA7AA4">
        <w:rPr>
          <w:rFonts w:ascii="Times New Roman" w:hAnsi="Times New Roman" w:cs="Times New Roman"/>
          <w:sz w:val="20"/>
          <w:szCs w:val="20"/>
        </w:rPr>
        <w:t>behaviour</w:t>
      </w:r>
      <w:proofErr w:type="spellEnd"/>
      <w:r w:rsidRPr="00DA7AA4">
        <w:rPr>
          <w:rFonts w:ascii="Times New Roman" w:hAnsi="Times New Roman" w:cs="Times New Roman"/>
          <w:sz w:val="20"/>
          <w:szCs w:val="20"/>
        </w:rPr>
        <w:t xml:space="preserve"> towards MNP </w:t>
      </w:r>
      <w:r w:rsidR="00242637" w:rsidRPr="00DA7AA4">
        <w:rPr>
          <w:rFonts w:ascii="Times New Roman" w:hAnsi="Times New Roman" w:cs="Times New Roman"/>
          <w:sz w:val="20"/>
          <w:szCs w:val="20"/>
        </w:rPr>
        <w:t>adoption</w:t>
      </w:r>
      <w:r w:rsidRPr="00DA7AA4">
        <w:rPr>
          <w:rFonts w:ascii="Times New Roman" w:hAnsi="Times New Roman" w:cs="Times New Roman"/>
          <w:sz w:val="20"/>
          <w:szCs w:val="20"/>
        </w:rPr>
        <w:t xml:space="preserve"> in developing countries in general and in Ghana</w:t>
      </w:r>
      <w:r w:rsidRPr="00DA7AA4">
        <w:rPr>
          <w:sz w:val="20"/>
          <w:szCs w:val="20"/>
        </w:rPr>
        <w:t xml:space="preserve"> </w:t>
      </w:r>
      <w:r w:rsidRPr="00DA7AA4">
        <w:rPr>
          <w:rFonts w:ascii="Times New Roman" w:hAnsi="Times New Roman" w:cs="Times New Roman"/>
          <w:sz w:val="20"/>
          <w:szCs w:val="20"/>
        </w:rPr>
        <w:t>telecom industry in particular.</w:t>
      </w:r>
      <w:r w:rsidR="00242637" w:rsidRPr="00DA7AA4">
        <w:rPr>
          <w:rFonts w:ascii="Times New Roman" w:hAnsi="Times New Roman" w:cs="Times New Roman"/>
          <w:sz w:val="20"/>
          <w:szCs w:val="20"/>
        </w:rPr>
        <w:t xml:space="preserve"> </w:t>
      </w:r>
      <w:r w:rsidR="00A8193A" w:rsidRPr="00DA7AA4">
        <w:rPr>
          <w:rFonts w:ascii="Times New Roman" w:hAnsi="Times New Roman" w:cs="Times New Roman"/>
          <w:sz w:val="20"/>
          <w:szCs w:val="20"/>
        </w:rPr>
        <w:t>Much of the past studies on c</w:t>
      </w:r>
      <w:r w:rsidR="00E42DAC" w:rsidRPr="00DA7AA4">
        <w:rPr>
          <w:rFonts w:ascii="Times New Roman" w:hAnsi="Times New Roman" w:cs="Times New Roman"/>
          <w:sz w:val="20"/>
          <w:szCs w:val="20"/>
        </w:rPr>
        <w:t xml:space="preserve">onsumer adoption </w:t>
      </w:r>
      <w:r w:rsidR="00A8193A" w:rsidRPr="00DA7AA4">
        <w:rPr>
          <w:rFonts w:ascii="Times New Roman" w:hAnsi="Times New Roman" w:cs="Times New Roman"/>
          <w:sz w:val="20"/>
          <w:szCs w:val="20"/>
        </w:rPr>
        <w:t>of MNP has been extensively conducted in developed country mobile telecom contexts</w:t>
      </w:r>
      <w:r w:rsidR="00E42DAC" w:rsidRPr="00DA7AA4">
        <w:rPr>
          <w:rFonts w:ascii="Times New Roman" w:hAnsi="Times New Roman" w:cs="Times New Roman"/>
          <w:sz w:val="20"/>
          <w:szCs w:val="20"/>
        </w:rPr>
        <w:t xml:space="preserve"> </w:t>
      </w:r>
      <w:r w:rsidR="008D06BE">
        <w:rPr>
          <w:rFonts w:ascii="Times New Roman" w:hAnsi="Times New Roman" w:cs="Times New Roman"/>
          <w:sz w:val="20"/>
          <w:szCs w:val="20"/>
        </w:rPr>
        <w:t xml:space="preserve">(Buehler and </w:t>
      </w:r>
      <w:proofErr w:type="spellStart"/>
      <w:r w:rsidR="008D06BE">
        <w:rPr>
          <w:rFonts w:ascii="Times New Roman" w:hAnsi="Times New Roman" w:cs="Times New Roman"/>
          <w:sz w:val="20"/>
          <w:szCs w:val="20"/>
        </w:rPr>
        <w:t>Haucap</w:t>
      </w:r>
      <w:proofErr w:type="spellEnd"/>
      <w:r w:rsidR="00C55CB4" w:rsidRPr="00DA7AA4">
        <w:rPr>
          <w:rFonts w:ascii="Times New Roman" w:hAnsi="Times New Roman" w:cs="Times New Roman"/>
          <w:sz w:val="20"/>
          <w:szCs w:val="20"/>
        </w:rPr>
        <w:t xml:space="preserve"> 2004; Lee</w:t>
      </w:r>
      <w:r w:rsidR="008D06BE">
        <w:rPr>
          <w:rFonts w:ascii="Times New Roman" w:hAnsi="Times New Roman" w:cs="Times New Roman"/>
          <w:sz w:val="20"/>
          <w:szCs w:val="20"/>
        </w:rPr>
        <w:t xml:space="preserve"> et al.</w:t>
      </w:r>
      <w:r w:rsidR="00C55CB4" w:rsidRPr="00DA7AA4">
        <w:rPr>
          <w:rFonts w:ascii="Times New Roman" w:hAnsi="Times New Roman" w:cs="Times New Roman"/>
          <w:sz w:val="20"/>
          <w:szCs w:val="20"/>
        </w:rPr>
        <w:t xml:space="preserve"> 2006; Lin, </w:t>
      </w:r>
      <w:proofErr w:type="spellStart"/>
      <w:r w:rsidR="00C55CB4" w:rsidRPr="00DA7AA4">
        <w:rPr>
          <w:rFonts w:ascii="Times New Roman" w:hAnsi="Times New Roman" w:cs="Times New Roman"/>
          <w:sz w:val="20"/>
          <w:szCs w:val="20"/>
        </w:rPr>
        <w:t>Chlamtac</w:t>
      </w:r>
      <w:proofErr w:type="spellEnd"/>
      <w:r w:rsidR="00C55CB4"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Yu</w:t>
      </w:r>
      <w:r w:rsidR="00C55CB4" w:rsidRPr="00DA7AA4">
        <w:rPr>
          <w:rFonts w:ascii="Times New Roman" w:hAnsi="Times New Roman" w:cs="Times New Roman"/>
          <w:sz w:val="20"/>
          <w:szCs w:val="20"/>
        </w:rPr>
        <w:t xml:space="preserve"> 2003; </w:t>
      </w:r>
      <w:proofErr w:type="spellStart"/>
      <w:r w:rsidR="00C55CB4" w:rsidRPr="00DA7AA4">
        <w:rPr>
          <w:rFonts w:ascii="Times New Roman" w:hAnsi="Times New Roman" w:cs="Times New Roman"/>
          <w:sz w:val="20"/>
          <w:szCs w:val="20"/>
        </w:rPr>
        <w:t>Maicas</w:t>
      </w:r>
      <w:proofErr w:type="spellEnd"/>
      <w:r w:rsidR="00C55CB4" w:rsidRPr="00DA7AA4">
        <w:rPr>
          <w:rFonts w:ascii="Times New Roman" w:hAnsi="Times New Roman" w:cs="Times New Roman"/>
          <w:sz w:val="20"/>
          <w:szCs w:val="20"/>
        </w:rPr>
        <w:t xml:space="preserve">, Polo,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Javier</w:t>
      </w:r>
      <w:r w:rsidR="00C55CB4" w:rsidRPr="00DA7AA4">
        <w:rPr>
          <w:rFonts w:ascii="Times New Roman" w:hAnsi="Times New Roman" w:cs="Times New Roman"/>
          <w:sz w:val="20"/>
          <w:szCs w:val="20"/>
        </w:rPr>
        <w:t xml:space="preserve"> 2009; </w:t>
      </w:r>
      <w:proofErr w:type="spellStart"/>
      <w:r w:rsidR="008D06BE">
        <w:rPr>
          <w:rFonts w:ascii="Times New Roman" w:hAnsi="Times New Roman" w:cs="Times New Roman"/>
          <w:sz w:val="20"/>
          <w:szCs w:val="20"/>
        </w:rPr>
        <w:t>Oftel</w:t>
      </w:r>
      <w:proofErr w:type="spellEnd"/>
      <w:r w:rsidR="00CD51A2" w:rsidRPr="00DA7AA4">
        <w:rPr>
          <w:rFonts w:ascii="Times New Roman" w:hAnsi="Times New Roman" w:cs="Times New Roman"/>
          <w:sz w:val="20"/>
          <w:szCs w:val="20"/>
        </w:rPr>
        <w:t xml:space="preserve"> 1997; </w:t>
      </w:r>
      <w:r w:rsidR="008D06BE">
        <w:rPr>
          <w:rFonts w:ascii="Times New Roman" w:hAnsi="Times New Roman" w:cs="Times New Roman"/>
          <w:sz w:val="20"/>
          <w:szCs w:val="20"/>
        </w:rPr>
        <w:t>Ovum</w:t>
      </w:r>
      <w:r w:rsidR="00124B13" w:rsidRPr="00DA7AA4">
        <w:rPr>
          <w:rFonts w:ascii="Times New Roman" w:hAnsi="Times New Roman" w:cs="Times New Roman"/>
          <w:sz w:val="20"/>
          <w:szCs w:val="20"/>
        </w:rPr>
        <w:t xml:space="preserve"> 2000; </w:t>
      </w:r>
      <w:proofErr w:type="spellStart"/>
      <w:r w:rsidR="00C55CB4" w:rsidRPr="00DA7AA4">
        <w:rPr>
          <w:rFonts w:ascii="Times New Roman" w:hAnsi="Times New Roman" w:cs="Times New Roman"/>
          <w:sz w:val="20"/>
          <w:szCs w:val="20"/>
        </w:rPr>
        <w:t>Reinke</w:t>
      </w:r>
      <w:proofErr w:type="spellEnd"/>
      <w:r w:rsidR="00C55CB4" w:rsidRPr="00DA7AA4">
        <w:rPr>
          <w:rFonts w:ascii="Times New Roman" w:hAnsi="Times New Roman" w:cs="Times New Roman"/>
          <w:sz w:val="20"/>
          <w:szCs w:val="20"/>
        </w:rPr>
        <w:t xml:space="preserve"> 1998; Shin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Kim</w:t>
      </w:r>
      <w:r w:rsidR="00C55CB4" w:rsidRPr="00DA7AA4">
        <w:rPr>
          <w:rFonts w:ascii="Times New Roman" w:hAnsi="Times New Roman" w:cs="Times New Roman"/>
          <w:sz w:val="20"/>
          <w:szCs w:val="20"/>
        </w:rPr>
        <w:t xml:space="preserve"> 2007; </w:t>
      </w:r>
      <w:proofErr w:type="spellStart"/>
      <w:r w:rsidR="00124B13" w:rsidRPr="00DA7AA4">
        <w:rPr>
          <w:rFonts w:ascii="Times New Roman" w:hAnsi="Times New Roman" w:cs="Times New Roman"/>
          <w:sz w:val="20"/>
          <w:szCs w:val="20"/>
        </w:rPr>
        <w:t>Seo</w:t>
      </w:r>
      <w:proofErr w:type="spellEnd"/>
      <w:r w:rsidR="00124B13" w:rsidRPr="00DA7AA4">
        <w:rPr>
          <w:rFonts w:ascii="Times New Roman" w:hAnsi="Times New Roman" w:cs="Times New Roman"/>
          <w:sz w:val="20"/>
          <w:szCs w:val="20"/>
        </w:rPr>
        <w:t xml:space="preserve">, </w:t>
      </w:r>
      <w:proofErr w:type="spellStart"/>
      <w:r w:rsidR="00124B13" w:rsidRPr="00DA7AA4">
        <w:rPr>
          <w:rFonts w:ascii="Times New Roman" w:hAnsi="Times New Roman" w:cs="Times New Roman"/>
          <w:sz w:val="20"/>
          <w:szCs w:val="20"/>
        </w:rPr>
        <w:t>Ranganathan</w:t>
      </w:r>
      <w:proofErr w:type="spellEnd"/>
      <w:r w:rsidR="00124B13"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w:t>
      </w:r>
      <w:proofErr w:type="spellStart"/>
      <w:r w:rsidR="008D06BE">
        <w:rPr>
          <w:rFonts w:ascii="Times New Roman" w:hAnsi="Times New Roman" w:cs="Times New Roman"/>
          <w:sz w:val="20"/>
          <w:szCs w:val="20"/>
        </w:rPr>
        <w:t>Babad</w:t>
      </w:r>
      <w:proofErr w:type="spellEnd"/>
      <w:r w:rsidR="00124B13" w:rsidRPr="00DA7AA4">
        <w:rPr>
          <w:rFonts w:ascii="Times New Roman" w:hAnsi="Times New Roman" w:cs="Times New Roman"/>
          <w:sz w:val="20"/>
          <w:szCs w:val="20"/>
        </w:rPr>
        <w:t xml:space="preserve"> 2008</w:t>
      </w:r>
      <w:r w:rsidR="002025B2" w:rsidRPr="00DA7AA4">
        <w:rPr>
          <w:rFonts w:ascii="Times New Roman" w:hAnsi="Times New Roman" w:cs="Times New Roman"/>
          <w:sz w:val="20"/>
          <w:szCs w:val="20"/>
        </w:rPr>
        <w:t xml:space="preserve">). </w:t>
      </w:r>
      <w:r w:rsidR="00D77B9E" w:rsidRPr="00DA7AA4">
        <w:rPr>
          <w:rFonts w:ascii="Times New Roman" w:hAnsi="Times New Roman" w:cs="Times New Roman"/>
          <w:sz w:val="20"/>
          <w:szCs w:val="20"/>
        </w:rPr>
        <w:t>Relatively few research</w:t>
      </w:r>
      <w:r w:rsidR="002025B2" w:rsidRPr="00DA7AA4">
        <w:rPr>
          <w:rFonts w:ascii="Times New Roman" w:hAnsi="Times New Roman" w:cs="Times New Roman"/>
          <w:sz w:val="20"/>
          <w:szCs w:val="20"/>
        </w:rPr>
        <w:t xml:space="preserve"> has been done in the area of adoption of MNP innovation in </w:t>
      </w:r>
      <w:r w:rsidR="00D77B9E" w:rsidRPr="00DA7AA4">
        <w:rPr>
          <w:rFonts w:ascii="Times New Roman" w:hAnsi="Times New Roman" w:cs="Times New Roman"/>
          <w:sz w:val="20"/>
          <w:szCs w:val="20"/>
        </w:rPr>
        <w:t xml:space="preserve">developing economies and </w:t>
      </w:r>
      <w:r w:rsidR="002025B2" w:rsidRPr="00DA7AA4">
        <w:rPr>
          <w:rFonts w:ascii="Times New Roman" w:hAnsi="Times New Roman" w:cs="Times New Roman"/>
          <w:sz w:val="20"/>
          <w:szCs w:val="20"/>
        </w:rPr>
        <w:t xml:space="preserve">Sub-Sahara Africa </w:t>
      </w:r>
      <w:r w:rsidR="00A4219F">
        <w:rPr>
          <w:rFonts w:ascii="Times New Roman" w:hAnsi="Times New Roman" w:cs="Times New Roman"/>
          <w:sz w:val="20"/>
          <w:szCs w:val="20"/>
        </w:rPr>
        <w:t xml:space="preserve">(SSA) </w:t>
      </w:r>
      <w:r w:rsidR="002025B2" w:rsidRPr="00DA7AA4">
        <w:rPr>
          <w:rFonts w:ascii="Times New Roman" w:hAnsi="Times New Roman" w:cs="Times New Roman"/>
          <w:sz w:val="20"/>
          <w:szCs w:val="20"/>
        </w:rPr>
        <w:t>developing countries c</w:t>
      </w:r>
      <w:r w:rsidR="008D06BE">
        <w:rPr>
          <w:rFonts w:ascii="Times New Roman" w:hAnsi="Times New Roman" w:cs="Times New Roman"/>
          <w:sz w:val="20"/>
          <w:szCs w:val="20"/>
        </w:rPr>
        <w:t xml:space="preserve">ontexts (e.g., </w:t>
      </w:r>
      <w:proofErr w:type="spellStart"/>
      <w:r w:rsidR="008D06BE">
        <w:rPr>
          <w:rFonts w:ascii="Times New Roman" w:hAnsi="Times New Roman" w:cs="Times New Roman"/>
          <w:sz w:val="20"/>
          <w:szCs w:val="20"/>
        </w:rPr>
        <w:t>Abdramon</w:t>
      </w:r>
      <w:proofErr w:type="spellEnd"/>
      <w:r w:rsidR="00E42DAC"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w:t>
      </w:r>
      <w:proofErr w:type="spellStart"/>
      <w:r w:rsidR="008D06BE">
        <w:rPr>
          <w:rFonts w:ascii="Times New Roman" w:hAnsi="Times New Roman" w:cs="Times New Roman"/>
          <w:sz w:val="20"/>
          <w:szCs w:val="20"/>
        </w:rPr>
        <w:t>Mejabi</w:t>
      </w:r>
      <w:proofErr w:type="spellEnd"/>
      <w:r w:rsidR="00E42DAC" w:rsidRPr="00DA7AA4">
        <w:rPr>
          <w:rFonts w:ascii="Times New Roman" w:hAnsi="Times New Roman" w:cs="Times New Roman"/>
          <w:sz w:val="20"/>
          <w:szCs w:val="20"/>
        </w:rPr>
        <w:t xml:space="preserve"> 2012; </w:t>
      </w:r>
      <w:proofErr w:type="spellStart"/>
      <w:r w:rsidR="00027A3A" w:rsidRPr="00DA7AA4">
        <w:rPr>
          <w:rFonts w:ascii="Times New Roman" w:hAnsi="Times New Roman" w:cs="Times New Roman"/>
          <w:sz w:val="20"/>
          <w:szCs w:val="20"/>
        </w:rPr>
        <w:t>Chweya</w:t>
      </w:r>
      <w:proofErr w:type="spellEnd"/>
      <w:r w:rsidR="00027A3A" w:rsidRPr="00DA7AA4">
        <w:rPr>
          <w:rFonts w:ascii="Times New Roman" w:hAnsi="Times New Roman" w:cs="Times New Roman"/>
          <w:sz w:val="20"/>
          <w:szCs w:val="20"/>
        </w:rPr>
        <w:t xml:space="preserve"> 2013; </w:t>
      </w:r>
      <w:proofErr w:type="spellStart"/>
      <w:r w:rsidR="00E42DAC" w:rsidRPr="00DA7AA4">
        <w:rPr>
          <w:rFonts w:ascii="Times New Roman" w:hAnsi="Times New Roman" w:cs="Times New Roman"/>
          <w:sz w:val="20"/>
          <w:szCs w:val="20"/>
        </w:rPr>
        <w:t>Odunaike</w:t>
      </w:r>
      <w:proofErr w:type="spellEnd"/>
      <w:r w:rsidR="00E42DAC" w:rsidRPr="00DA7AA4">
        <w:rPr>
          <w:rFonts w:ascii="Times New Roman" w:hAnsi="Times New Roman" w:cs="Times New Roman"/>
          <w:sz w:val="20"/>
          <w:szCs w:val="20"/>
        </w:rPr>
        <w:t xml:space="preserve"> 2010; </w:t>
      </w:r>
      <w:proofErr w:type="spellStart"/>
      <w:r w:rsidR="00E42DAC" w:rsidRPr="00DA7AA4">
        <w:rPr>
          <w:rFonts w:ascii="Times New Roman" w:hAnsi="Times New Roman" w:cs="Times New Roman"/>
          <w:sz w:val="20"/>
          <w:szCs w:val="20"/>
        </w:rPr>
        <w:t>Tiamiyu</w:t>
      </w:r>
      <w:proofErr w:type="spellEnd"/>
      <w:r w:rsidR="00E42DAC"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w:t>
      </w:r>
      <w:proofErr w:type="spellStart"/>
      <w:r w:rsidR="008D06BE">
        <w:rPr>
          <w:rFonts w:ascii="Times New Roman" w:hAnsi="Times New Roman" w:cs="Times New Roman"/>
          <w:sz w:val="20"/>
          <w:szCs w:val="20"/>
        </w:rPr>
        <w:t>Mejabi</w:t>
      </w:r>
      <w:proofErr w:type="spellEnd"/>
      <w:r w:rsidR="00E42DAC" w:rsidRPr="00DA7AA4">
        <w:rPr>
          <w:rFonts w:ascii="Times New Roman" w:hAnsi="Times New Roman" w:cs="Times New Roman"/>
          <w:sz w:val="20"/>
          <w:szCs w:val="20"/>
        </w:rPr>
        <w:t xml:space="preserve"> 2012</w:t>
      </w:r>
      <w:r w:rsidR="00D77B9E" w:rsidRPr="00DA7AA4">
        <w:rPr>
          <w:rFonts w:ascii="Times New Roman" w:hAnsi="Times New Roman" w:cs="Times New Roman"/>
          <w:sz w:val="20"/>
          <w:szCs w:val="20"/>
        </w:rPr>
        <w:t xml:space="preserve">; </w:t>
      </w:r>
      <w:proofErr w:type="spellStart"/>
      <w:r w:rsidR="00D77B9E" w:rsidRPr="00DA7AA4">
        <w:rPr>
          <w:rFonts w:ascii="Times New Roman" w:hAnsi="Times New Roman" w:cs="Times New Roman"/>
          <w:sz w:val="20"/>
          <w:szCs w:val="20"/>
        </w:rPr>
        <w:t>Suthar</w:t>
      </w:r>
      <w:proofErr w:type="spellEnd"/>
      <w:r w:rsidR="00D77B9E" w:rsidRPr="00DA7AA4">
        <w:rPr>
          <w:rFonts w:ascii="Times New Roman" w:hAnsi="Times New Roman" w:cs="Times New Roman"/>
          <w:sz w:val="20"/>
          <w:szCs w:val="20"/>
        </w:rPr>
        <w:t xml:space="preserve">,  Sharma,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w:t>
      </w:r>
      <w:proofErr w:type="spellStart"/>
      <w:r w:rsidR="008D06BE">
        <w:rPr>
          <w:rFonts w:ascii="Times New Roman" w:hAnsi="Times New Roman" w:cs="Times New Roman"/>
          <w:sz w:val="20"/>
          <w:szCs w:val="20"/>
        </w:rPr>
        <w:t>Gwal</w:t>
      </w:r>
      <w:proofErr w:type="spellEnd"/>
      <w:r w:rsidR="00D77B9E" w:rsidRPr="00DA7AA4">
        <w:rPr>
          <w:rFonts w:ascii="Times New Roman" w:hAnsi="Times New Roman" w:cs="Times New Roman"/>
          <w:sz w:val="20"/>
          <w:szCs w:val="20"/>
        </w:rPr>
        <w:t xml:space="preserve"> 2012)</w:t>
      </w:r>
      <w:r w:rsidR="00027A3A" w:rsidRPr="00DA7AA4">
        <w:rPr>
          <w:rFonts w:ascii="Times New Roman" w:hAnsi="Times New Roman" w:cs="Times New Roman"/>
          <w:sz w:val="20"/>
          <w:szCs w:val="20"/>
        </w:rPr>
        <w:t xml:space="preserve"> and in Ghana in particular (e.g. </w:t>
      </w:r>
      <w:proofErr w:type="spellStart"/>
      <w:r w:rsidR="00EB7DD5" w:rsidRPr="00DA7AA4">
        <w:rPr>
          <w:rFonts w:ascii="Times New Roman" w:hAnsi="Times New Roman" w:cs="Times New Roman"/>
          <w:sz w:val="20"/>
          <w:szCs w:val="20"/>
        </w:rPr>
        <w:t>Agyekum</w:t>
      </w:r>
      <w:proofErr w:type="spellEnd"/>
      <w:r w:rsidR="00EB7DD5" w:rsidRPr="00DA7AA4">
        <w:rPr>
          <w:rFonts w:ascii="Times New Roman" w:hAnsi="Times New Roman" w:cs="Times New Roman"/>
          <w:sz w:val="20"/>
          <w:szCs w:val="20"/>
        </w:rPr>
        <w:t xml:space="preserve">, </w:t>
      </w:r>
      <w:proofErr w:type="spellStart"/>
      <w:r w:rsidR="00EB7DD5" w:rsidRPr="00DA7AA4">
        <w:rPr>
          <w:rFonts w:ascii="Times New Roman" w:hAnsi="Times New Roman" w:cs="Times New Roman"/>
          <w:sz w:val="20"/>
          <w:szCs w:val="20"/>
        </w:rPr>
        <w:t>Tchao</w:t>
      </w:r>
      <w:proofErr w:type="spellEnd"/>
      <w:r w:rsidR="00EB7DD5"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008D06BE">
        <w:rPr>
          <w:rFonts w:ascii="Times New Roman" w:hAnsi="Times New Roman" w:cs="Times New Roman"/>
          <w:sz w:val="20"/>
          <w:szCs w:val="20"/>
        </w:rPr>
        <w:t xml:space="preserve"> </w:t>
      </w:r>
      <w:proofErr w:type="spellStart"/>
      <w:r w:rsidR="008D06BE">
        <w:rPr>
          <w:rFonts w:ascii="Times New Roman" w:hAnsi="Times New Roman" w:cs="Times New Roman"/>
          <w:sz w:val="20"/>
          <w:szCs w:val="20"/>
        </w:rPr>
        <w:t>Affum</w:t>
      </w:r>
      <w:proofErr w:type="spellEnd"/>
      <w:r w:rsidR="00EB7DD5" w:rsidRPr="00DA7AA4">
        <w:rPr>
          <w:rFonts w:ascii="Times New Roman" w:hAnsi="Times New Roman" w:cs="Times New Roman"/>
          <w:sz w:val="20"/>
          <w:szCs w:val="20"/>
        </w:rPr>
        <w:t xml:space="preserve"> 2013; </w:t>
      </w:r>
      <w:proofErr w:type="spellStart"/>
      <w:r w:rsidR="008D06BE">
        <w:rPr>
          <w:rFonts w:ascii="Times New Roman" w:hAnsi="Times New Roman" w:cs="Times New Roman"/>
          <w:sz w:val="20"/>
          <w:szCs w:val="20"/>
        </w:rPr>
        <w:t>Larkotey</w:t>
      </w:r>
      <w:proofErr w:type="spellEnd"/>
      <w:r w:rsidR="008D06BE">
        <w:rPr>
          <w:rFonts w:ascii="Times New Roman" w:hAnsi="Times New Roman" w:cs="Times New Roman"/>
          <w:sz w:val="20"/>
          <w:szCs w:val="20"/>
        </w:rPr>
        <w:t xml:space="preserve"> et al.</w:t>
      </w:r>
      <w:r w:rsidR="00027A3A" w:rsidRPr="00DA7AA4">
        <w:rPr>
          <w:rFonts w:ascii="Times New Roman" w:hAnsi="Times New Roman" w:cs="Times New Roman"/>
          <w:sz w:val="20"/>
          <w:szCs w:val="20"/>
        </w:rPr>
        <w:t xml:space="preserve"> 2012)</w:t>
      </w:r>
      <w:r w:rsidR="005A3BFA" w:rsidRPr="00DA7AA4">
        <w:rPr>
          <w:rFonts w:ascii="Times New Roman" w:hAnsi="Times New Roman" w:cs="Times New Roman"/>
          <w:sz w:val="20"/>
          <w:szCs w:val="20"/>
        </w:rPr>
        <w:t xml:space="preserve">. In Ghana, </w:t>
      </w:r>
      <w:r w:rsidR="0056797D" w:rsidRPr="00DA7AA4">
        <w:rPr>
          <w:rFonts w:ascii="Times New Roman" w:hAnsi="Times New Roman" w:cs="Times New Roman"/>
          <w:sz w:val="20"/>
          <w:szCs w:val="20"/>
        </w:rPr>
        <w:t xml:space="preserve">much of </w:t>
      </w:r>
      <w:r w:rsidR="005A3BFA" w:rsidRPr="00DA7AA4">
        <w:rPr>
          <w:rFonts w:ascii="Times New Roman" w:hAnsi="Times New Roman" w:cs="Times New Roman"/>
          <w:sz w:val="20"/>
          <w:szCs w:val="20"/>
        </w:rPr>
        <w:t>the literature that exi</w:t>
      </w:r>
      <w:r w:rsidR="008D06BE">
        <w:rPr>
          <w:rFonts w:ascii="Times New Roman" w:hAnsi="Times New Roman" w:cs="Times New Roman"/>
          <w:sz w:val="20"/>
          <w:szCs w:val="20"/>
        </w:rPr>
        <w:t xml:space="preserve">st on MNP (e.g., </w:t>
      </w:r>
      <w:proofErr w:type="spellStart"/>
      <w:r w:rsidR="008D06BE">
        <w:rPr>
          <w:rFonts w:ascii="Times New Roman" w:hAnsi="Times New Roman" w:cs="Times New Roman"/>
          <w:sz w:val="20"/>
          <w:szCs w:val="20"/>
        </w:rPr>
        <w:t>Agyekum</w:t>
      </w:r>
      <w:proofErr w:type="spellEnd"/>
      <w:r w:rsidR="008D06BE">
        <w:rPr>
          <w:rFonts w:ascii="Times New Roman" w:hAnsi="Times New Roman" w:cs="Times New Roman"/>
          <w:sz w:val="20"/>
          <w:szCs w:val="20"/>
        </w:rPr>
        <w:t xml:space="preserve"> et al.</w:t>
      </w:r>
      <w:r w:rsidR="005A3BFA" w:rsidRPr="00DA7AA4">
        <w:rPr>
          <w:rFonts w:ascii="Times New Roman" w:hAnsi="Times New Roman" w:cs="Times New Roman"/>
          <w:sz w:val="20"/>
          <w:szCs w:val="20"/>
        </w:rPr>
        <w:t xml:space="preserve"> 2012) mainl</w:t>
      </w:r>
      <w:r w:rsidR="001246B8">
        <w:rPr>
          <w:rFonts w:ascii="Times New Roman" w:hAnsi="Times New Roman" w:cs="Times New Roman"/>
          <w:sz w:val="20"/>
          <w:szCs w:val="20"/>
        </w:rPr>
        <w:t>y provide secondary data from N</w:t>
      </w:r>
      <w:r w:rsidR="005A3BFA" w:rsidRPr="00DA7AA4">
        <w:rPr>
          <w:rFonts w:ascii="Times New Roman" w:hAnsi="Times New Roman" w:cs="Times New Roman"/>
          <w:sz w:val="20"/>
          <w:szCs w:val="20"/>
        </w:rPr>
        <w:t>C</w:t>
      </w:r>
      <w:r w:rsidR="001246B8">
        <w:rPr>
          <w:rFonts w:ascii="Times New Roman" w:hAnsi="Times New Roman" w:cs="Times New Roman"/>
          <w:sz w:val="20"/>
          <w:szCs w:val="20"/>
        </w:rPr>
        <w:t>A</w:t>
      </w:r>
      <w:r w:rsidR="005A3BFA" w:rsidRPr="00DA7AA4">
        <w:rPr>
          <w:rFonts w:ascii="Times New Roman" w:hAnsi="Times New Roman" w:cs="Times New Roman"/>
          <w:sz w:val="20"/>
          <w:szCs w:val="20"/>
        </w:rPr>
        <w:t>’s website and lacks rigorous</w:t>
      </w:r>
      <w:r w:rsidR="00DA7AA4" w:rsidRPr="00DA7AA4">
        <w:rPr>
          <w:rFonts w:ascii="Times New Roman" w:hAnsi="Times New Roman" w:cs="Times New Roman"/>
          <w:sz w:val="20"/>
          <w:szCs w:val="20"/>
        </w:rPr>
        <w:t xml:space="preserve"> empirical data from </w:t>
      </w:r>
      <w:r w:rsidR="005A3BFA" w:rsidRPr="00DA7AA4">
        <w:rPr>
          <w:rFonts w:ascii="Times New Roman" w:hAnsi="Times New Roman" w:cs="Times New Roman"/>
          <w:sz w:val="20"/>
          <w:szCs w:val="20"/>
        </w:rPr>
        <w:t>consumers’ perspective.</w:t>
      </w:r>
      <w:r w:rsidR="00E42DAC" w:rsidRPr="00DA7AA4">
        <w:rPr>
          <w:rFonts w:ascii="Times New Roman" w:hAnsi="Times New Roman" w:cs="Times New Roman"/>
          <w:sz w:val="20"/>
          <w:szCs w:val="20"/>
        </w:rPr>
        <w:t xml:space="preserve"> </w:t>
      </w:r>
      <w:r w:rsidR="003F44FB" w:rsidRPr="00DA7AA4">
        <w:rPr>
          <w:rFonts w:ascii="Times New Roman" w:hAnsi="Times New Roman" w:cs="Times New Roman"/>
          <w:sz w:val="20"/>
          <w:szCs w:val="20"/>
        </w:rPr>
        <w:t xml:space="preserve">Given that the adoption of MNP policy will be beneficial to mobile subscribers and that their adoption is crucial to sustainability of the MNP success, it becomes critically important to provide </w:t>
      </w:r>
      <w:r w:rsidR="00D81683" w:rsidRPr="00DA7AA4">
        <w:rPr>
          <w:rFonts w:ascii="Times New Roman" w:hAnsi="Times New Roman" w:cs="Times New Roman"/>
          <w:sz w:val="20"/>
          <w:szCs w:val="20"/>
        </w:rPr>
        <w:t xml:space="preserve">more </w:t>
      </w:r>
      <w:r w:rsidR="003F44FB" w:rsidRPr="00DA7AA4">
        <w:rPr>
          <w:rFonts w:ascii="Times New Roman" w:hAnsi="Times New Roman" w:cs="Times New Roman"/>
          <w:sz w:val="20"/>
          <w:szCs w:val="20"/>
        </w:rPr>
        <w:t xml:space="preserve">empirical evidence regarding mobile subscribers’ </w:t>
      </w:r>
      <w:proofErr w:type="spellStart"/>
      <w:r w:rsidR="003F44FB" w:rsidRPr="00DA7AA4">
        <w:rPr>
          <w:rFonts w:ascii="Times New Roman" w:hAnsi="Times New Roman" w:cs="Times New Roman"/>
          <w:sz w:val="20"/>
          <w:szCs w:val="20"/>
        </w:rPr>
        <w:t>behaviour</w:t>
      </w:r>
      <w:proofErr w:type="spellEnd"/>
      <w:r w:rsidR="003F44FB" w:rsidRPr="00DA7AA4">
        <w:rPr>
          <w:rFonts w:ascii="Times New Roman" w:hAnsi="Times New Roman" w:cs="Times New Roman"/>
          <w:sz w:val="20"/>
          <w:szCs w:val="20"/>
        </w:rPr>
        <w:t xml:space="preserve"> towards the MNP policy</w:t>
      </w:r>
      <w:r w:rsidR="00D81683" w:rsidRPr="00DA7AA4">
        <w:rPr>
          <w:rFonts w:ascii="Times New Roman" w:hAnsi="Times New Roman" w:cs="Times New Roman"/>
          <w:sz w:val="20"/>
          <w:szCs w:val="20"/>
        </w:rPr>
        <w:t xml:space="preserve"> from </w:t>
      </w:r>
      <w:r w:rsidR="00D81683" w:rsidRPr="00DA7AA4">
        <w:rPr>
          <w:rFonts w:ascii="Times New Roman" w:hAnsi="Times New Roman" w:cs="Times New Roman"/>
          <w:sz w:val="20"/>
          <w:szCs w:val="20"/>
        </w:rPr>
        <w:lastRenderedPageBreak/>
        <w:t>consumers’ perspective</w:t>
      </w:r>
      <w:r w:rsidR="003F44FB" w:rsidRPr="00DA7AA4">
        <w:rPr>
          <w:rFonts w:ascii="Times New Roman" w:hAnsi="Times New Roman" w:cs="Times New Roman"/>
          <w:sz w:val="20"/>
          <w:szCs w:val="20"/>
        </w:rPr>
        <w:t xml:space="preserve"> and provide recommendations for policy makers, mobile telecom managers and all relevant </w:t>
      </w:r>
      <w:r w:rsidR="00461847" w:rsidRPr="00DA7AA4">
        <w:rPr>
          <w:rFonts w:ascii="Times New Roman" w:hAnsi="Times New Roman" w:cs="Times New Roman"/>
          <w:sz w:val="20"/>
          <w:szCs w:val="20"/>
        </w:rPr>
        <w:t>sta</w:t>
      </w:r>
      <w:r w:rsidR="004A2938" w:rsidRPr="00DA7AA4">
        <w:rPr>
          <w:rFonts w:ascii="Times New Roman" w:hAnsi="Times New Roman" w:cs="Times New Roman"/>
          <w:sz w:val="20"/>
          <w:szCs w:val="20"/>
        </w:rPr>
        <w:t>keholders. Therefore, the main p</w:t>
      </w:r>
      <w:r w:rsidR="001B7B18" w:rsidRPr="00DA7AA4">
        <w:rPr>
          <w:rFonts w:ascii="Times New Roman" w:hAnsi="Times New Roman" w:cs="Times New Roman"/>
          <w:sz w:val="20"/>
          <w:szCs w:val="20"/>
        </w:rPr>
        <w:t xml:space="preserve">urpose </w:t>
      </w:r>
      <w:r w:rsidR="004A2938" w:rsidRPr="00DA7AA4">
        <w:rPr>
          <w:rFonts w:ascii="Times New Roman" w:hAnsi="Times New Roman" w:cs="Times New Roman"/>
          <w:sz w:val="20"/>
          <w:szCs w:val="20"/>
        </w:rPr>
        <w:t xml:space="preserve">of the paper </w:t>
      </w:r>
      <w:r w:rsidR="001B7B18" w:rsidRPr="00DA7AA4">
        <w:rPr>
          <w:rFonts w:ascii="Times New Roman" w:hAnsi="Times New Roman" w:cs="Times New Roman"/>
          <w:sz w:val="20"/>
          <w:szCs w:val="20"/>
        </w:rPr>
        <w:t>is to</w:t>
      </w:r>
      <w:r w:rsidR="00EE7654" w:rsidRPr="00DA7AA4">
        <w:rPr>
          <w:rFonts w:ascii="Times New Roman" w:hAnsi="Times New Roman" w:cs="Times New Roman"/>
          <w:sz w:val="20"/>
          <w:szCs w:val="20"/>
        </w:rPr>
        <w:t xml:space="preserve"> examine</w:t>
      </w:r>
      <w:r w:rsidR="001B7B18" w:rsidRPr="00DA7AA4">
        <w:rPr>
          <w:rFonts w:ascii="Times New Roman" w:hAnsi="Times New Roman" w:cs="Times New Roman"/>
          <w:sz w:val="20"/>
          <w:szCs w:val="20"/>
        </w:rPr>
        <w:t xml:space="preserve"> consumer </w:t>
      </w:r>
      <w:proofErr w:type="spellStart"/>
      <w:r w:rsidR="001B7B18" w:rsidRPr="00DA7AA4">
        <w:rPr>
          <w:rFonts w:ascii="Times New Roman" w:hAnsi="Times New Roman" w:cs="Times New Roman"/>
          <w:sz w:val="20"/>
          <w:szCs w:val="20"/>
        </w:rPr>
        <w:t>behaviour</w:t>
      </w:r>
      <w:proofErr w:type="spellEnd"/>
      <w:r w:rsidR="001B7B18" w:rsidRPr="00DA7AA4">
        <w:rPr>
          <w:rFonts w:ascii="Times New Roman" w:hAnsi="Times New Roman" w:cs="Times New Roman"/>
          <w:sz w:val="20"/>
          <w:szCs w:val="20"/>
        </w:rPr>
        <w:t xml:space="preserve"> towards the MNP policy in Ghana</w:t>
      </w:r>
      <w:r w:rsidR="004A2938" w:rsidRPr="00DA7AA4">
        <w:rPr>
          <w:rFonts w:ascii="Times New Roman" w:hAnsi="Times New Roman" w:cs="Times New Roman"/>
          <w:sz w:val="20"/>
          <w:szCs w:val="20"/>
        </w:rPr>
        <w:t xml:space="preserve"> since the implementation of the policy in July 2011.</w:t>
      </w:r>
      <w:r w:rsidR="004230B4" w:rsidRPr="00DA7AA4">
        <w:rPr>
          <w:rFonts w:ascii="Times New Roman" w:hAnsi="Times New Roman" w:cs="Times New Roman"/>
          <w:sz w:val="20"/>
          <w:szCs w:val="20"/>
        </w:rPr>
        <w:t xml:space="preserve"> The study is guided by the following specific objectives:</w:t>
      </w:r>
    </w:p>
    <w:p w:rsidR="001609DE" w:rsidRPr="00DA7AA4" w:rsidRDefault="004F03DD" w:rsidP="00D33DB0">
      <w:pPr>
        <w:pStyle w:val="NoSpacing"/>
        <w:numPr>
          <w:ilvl w:val="0"/>
          <w:numId w:val="5"/>
        </w:numPr>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To examine</w:t>
      </w:r>
      <w:r w:rsidR="001609DE" w:rsidRPr="00DA7AA4">
        <w:rPr>
          <w:rFonts w:ascii="Times New Roman" w:hAnsi="Times New Roman" w:cs="Times New Roman"/>
          <w:sz w:val="20"/>
          <w:szCs w:val="20"/>
        </w:rPr>
        <w:t xml:space="preserve"> consumer attitude and per</w:t>
      </w:r>
      <w:r w:rsidR="0002520F" w:rsidRPr="00DA7AA4">
        <w:rPr>
          <w:rFonts w:ascii="Times New Roman" w:hAnsi="Times New Roman" w:cs="Times New Roman"/>
          <w:sz w:val="20"/>
          <w:szCs w:val="20"/>
        </w:rPr>
        <w:t>ception towards MNP policy</w:t>
      </w:r>
      <w:r w:rsidR="001609DE" w:rsidRPr="00DA7AA4">
        <w:rPr>
          <w:rFonts w:ascii="Times New Roman" w:hAnsi="Times New Roman" w:cs="Times New Roman"/>
          <w:sz w:val="20"/>
          <w:szCs w:val="20"/>
        </w:rPr>
        <w:t xml:space="preserve"> in Ghana</w:t>
      </w:r>
    </w:p>
    <w:p w:rsidR="004E0F5F" w:rsidRPr="000934FF" w:rsidRDefault="004F03DD" w:rsidP="00D33DB0">
      <w:pPr>
        <w:pStyle w:val="NoSpacing"/>
        <w:numPr>
          <w:ilvl w:val="0"/>
          <w:numId w:val="5"/>
        </w:numPr>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To examin</w:t>
      </w:r>
      <w:r w:rsidR="00795FB6" w:rsidRPr="00DA7AA4">
        <w:rPr>
          <w:rFonts w:ascii="Times New Roman" w:hAnsi="Times New Roman" w:cs="Times New Roman"/>
          <w:sz w:val="20"/>
          <w:szCs w:val="20"/>
        </w:rPr>
        <w:t xml:space="preserve">e the </w:t>
      </w:r>
      <w:r w:rsidR="0036154F" w:rsidRPr="00DA7AA4">
        <w:rPr>
          <w:rFonts w:ascii="Times New Roman" w:hAnsi="Times New Roman" w:cs="Times New Roman"/>
          <w:sz w:val="20"/>
          <w:szCs w:val="20"/>
        </w:rPr>
        <w:t>influence of demographic variables</w:t>
      </w:r>
      <w:r w:rsidR="007313F2" w:rsidRPr="00DA7AA4">
        <w:rPr>
          <w:rFonts w:ascii="Times New Roman" w:hAnsi="Times New Roman" w:cs="Times New Roman"/>
          <w:sz w:val="20"/>
          <w:szCs w:val="20"/>
        </w:rPr>
        <w:t xml:space="preserve"> (gender, age, income, education and marital status) on consumer </w:t>
      </w:r>
      <w:proofErr w:type="spellStart"/>
      <w:r w:rsidR="007313F2" w:rsidRPr="00DA7AA4">
        <w:rPr>
          <w:rFonts w:ascii="Times New Roman" w:hAnsi="Times New Roman" w:cs="Times New Roman"/>
          <w:sz w:val="20"/>
          <w:szCs w:val="20"/>
        </w:rPr>
        <w:t>behaviour</w:t>
      </w:r>
      <w:proofErr w:type="spellEnd"/>
      <w:r w:rsidR="007313F2" w:rsidRPr="00DA7AA4">
        <w:rPr>
          <w:rFonts w:ascii="Times New Roman" w:hAnsi="Times New Roman" w:cs="Times New Roman"/>
          <w:sz w:val="20"/>
          <w:szCs w:val="20"/>
        </w:rPr>
        <w:t xml:space="preserve"> towards MNP policy</w:t>
      </w:r>
      <w:r w:rsidR="00B7087F" w:rsidRPr="00DA7AA4">
        <w:rPr>
          <w:rFonts w:ascii="Times New Roman" w:hAnsi="Times New Roman" w:cs="Times New Roman"/>
          <w:sz w:val="20"/>
          <w:szCs w:val="20"/>
        </w:rPr>
        <w:t xml:space="preserve"> in Ghana</w:t>
      </w:r>
      <w:r w:rsidR="007313F2" w:rsidRPr="00DA7AA4">
        <w:rPr>
          <w:rFonts w:ascii="Times New Roman" w:hAnsi="Times New Roman" w:cs="Times New Roman"/>
          <w:sz w:val="20"/>
          <w:szCs w:val="20"/>
        </w:rPr>
        <w:t>.</w:t>
      </w:r>
      <w:r w:rsidR="000934FF">
        <w:rPr>
          <w:rFonts w:ascii="Times New Roman" w:hAnsi="Times New Roman" w:cs="Times New Roman"/>
          <w:sz w:val="20"/>
          <w:szCs w:val="20"/>
        </w:rPr>
        <w:t xml:space="preserve"> </w:t>
      </w:r>
    </w:p>
    <w:p w:rsidR="00DA7AA4" w:rsidRPr="00DA7AA4" w:rsidRDefault="00DA7AA4" w:rsidP="00DA7AA4">
      <w:pPr>
        <w:pStyle w:val="NoSpacing"/>
        <w:spacing w:line="276" w:lineRule="auto"/>
        <w:jc w:val="both"/>
        <w:rPr>
          <w:rFonts w:ascii="Times New Roman"/>
          <w:sz w:val="20"/>
          <w:szCs w:val="20"/>
        </w:rPr>
      </w:pPr>
    </w:p>
    <w:p w:rsidR="00EE6BD0" w:rsidRPr="001D01CA" w:rsidRDefault="0020142A" w:rsidP="00DA7AA4">
      <w:pPr>
        <w:pStyle w:val="NoSpacing"/>
        <w:spacing w:line="276" w:lineRule="auto"/>
        <w:jc w:val="both"/>
        <w:rPr>
          <w:rFonts w:ascii="Times New Roman"/>
          <w:b/>
          <w:sz w:val="24"/>
          <w:szCs w:val="20"/>
        </w:rPr>
      </w:pPr>
      <w:r w:rsidRPr="001D01CA">
        <w:rPr>
          <w:rFonts w:ascii="Times New Roman"/>
          <w:b/>
          <w:sz w:val="24"/>
          <w:szCs w:val="20"/>
        </w:rPr>
        <w:t>Literature Review and conceptual framework</w:t>
      </w:r>
    </w:p>
    <w:p w:rsidR="00EE6BD0" w:rsidRPr="001D01CA" w:rsidRDefault="000934FF" w:rsidP="00DA7AA4">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MNP research in developed country c</w:t>
      </w:r>
      <w:r w:rsidR="00EE6BD0" w:rsidRPr="001D01CA">
        <w:rPr>
          <w:rFonts w:ascii="Times New Roman" w:hAnsi="Times New Roman" w:cs="Times New Roman"/>
          <w:i/>
          <w:sz w:val="24"/>
          <w:szCs w:val="20"/>
        </w:rPr>
        <w:t xml:space="preserve">ontext </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Much of literature</w:t>
      </w:r>
      <w:r w:rsidR="001246B8">
        <w:rPr>
          <w:rFonts w:ascii="Times New Roman" w:hAnsi="Times New Roman" w:cs="Times New Roman"/>
          <w:sz w:val="20"/>
          <w:szCs w:val="20"/>
        </w:rPr>
        <w:t xml:space="preserve"> on</w:t>
      </w:r>
      <w:r w:rsidRPr="00DA7AA4">
        <w:rPr>
          <w:rFonts w:ascii="Times New Roman" w:hAnsi="Times New Roman" w:cs="Times New Roman"/>
          <w:sz w:val="20"/>
          <w:szCs w:val="20"/>
        </w:rPr>
        <w:t xml:space="preserve"> our understanding of MNP can be traced to attempts by scholars to provide a framework of network competition and switching cost. </w:t>
      </w:r>
      <w:proofErr w:type="spellStart"/>
      <w:r w:rsidRPr="00DA7AA4">
        <w:rPr>
          <w:rFonts w:ascii="Times New Roman" w:hAnsi="Times New Roman" w:cs="Times New Roman"/>
          <w:sz w:val="20"/>
          <w:szCs w:val="20"/>
        </w:rPr>
        <w:t>Reinke</w:t>
      </w:r>
      <w:proofErr w:type="spellEnd"/>
      <w:r w:rsidRPr="00DA7AA4">
        <w:rPr>
          <w:rFonts w:ascii="Times New Roman" w:hAnsi="Times New Roman" w:cs="Times New Roman"/>
          <w:sz w:val="20"/>
          <w:szCs w:val="20"/>
        </w:rPr>
        <w:t xml:space="preserve"> (1998) argues that even if number portability can increase the competition in the telecommunication market, the means by which number portability is implemented may either ensure or threaten competition and universal service. Aoki and Small (1999) found that MNP can cause welfare change of consumers and producers.  </w:t>
      </w:r>
      <w:proofErr w:type="spellStart"/>
      <w:r w:rsidRPr="00DA7AA4">
        <w:rPr>
          <w:rFonts w:ascii="Times New Roman" w:hAnsi="Times New Roman" w:cs="Times New Roman"/>
          <w:sz w:val="20"/>
          <w:szCs w:val="20"/>
        </w:rPr>
        <w:t>Srinagesh</w:t>
      </w:r>
      <w:proofErr w:type="spellEnd"/>
      <w:r w:rsidRPr="00DA7AA4">
        <w:rPr>
          <w:rFonts w:ascii="Times New Roman" w:hAnsi="Times New Roman" w:cs="Times New Roman"/>
          <w:sz w:val="20"/>
          <w:szCs w:val="20"/>
        </w:rPr>
        <w:t xml:space="preserve"> and Mitchell (1999) </w:t>
      </w:r>
      <w:proofErr w:type="spellStart"/>
      <w:r w:rsidRPr="00DA7AA4">
        <w:rPr>
          <w:rFonts w:ascii="Times New Roman" w:hAnsi="Times New Roman" w:cs="Times New Roman"/>
          <w:sz w:val="20"/>
          <w:szCs w:val="20"/>
        </w:rPr>
        <w:t>analysed</w:t>
      </w:r>
      <w:proofErr w:type="spellEnd"/>
      <w:r w:rsidRPr="00DA7AA4">
        <w:rPr>
          <w:rFonts w:ascii="Times New Roman" w:hAnsi="Times New Roman" w:cs="Times New Roman"/>
          <w:sz w:val="20"/>
          <w:szCs w:val="20"/>
        </w:rPr>
        <w:t xml:space="preserve"> MNP in US mobile market and found that MNP has signiﬁcantly contributed to the effective compet</w:t>
      </w:r>
      <w:r w:rsidR="00545382">
        <w:rPr>
          <w:rFonts w:ascii="Times New Roman" w:hAnsi="Times New Roman" w:cs="Times New Roman"/>
          <w:sz w:val="20"/>
          <w:szCs w:val="20"/>
        </w:rPr>
        <w:t xml:space="preserve">ition in the US mobile market. </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According t</w:t>
      </w:r>
      <w:r w:rsidR="001246B8">
        <w:rPr>
          <w:rFonts w:ascii="Times New Roman" w:hAnsi="Times New Roman" w:cs="Times New Roman"/>
          <w:sz w:val="20"/>
          <w:szCs w:val="20"/>
        </w:rPr>
        <w:t xml:space="preserve">o </w:t>
      </w:r>
      <w:proofErr w:type="spellStart"/>
      <w:r w:rsidR="001246B8">
        <w:rPr>
          <w:rFonts w:ascii="Times New Roman" w:hAnsi="Times New Roman" w:cs="Times New Roman"/>
          <w:sz w:val="20"/>
          <w:szCs w:val="20"/>
        </w:rPr>
        <w:t>Gans</w:t>
      </w:r>
      <w:proofErr w:type="spellEnd"/>
      <w:r w:rsidR="001246B8">
        <w:rPr>
          <w:rFonts w:ascii="Times New Roman" w:hAnsi="Times New Roman" w:cs="Times New Roman"/>
          <w:sz w:val="20"/>
          <w:szCs w:val="20"/>
        </w:rPr>
        <w:t xml:space="preserve"> et al. (2001), MNP can be socially beneficial to</w:t>
      </w:r>
      <w:r w:rsidRPr="00DA7AA4">
        <w:rPr>
          <w:rFonts w:ascii="Times New Roman" w:hAnsi="Times New Roman" w:cs="Times New Roman"/>
          <w:sz w:val="20"/>
          <w:szCs w:val="20"/>
        </w:rPr>
        <w:t xml:space="preserve"> stimulating participants’ search for better services, and give consumers’ ownership of their phone number and a right to port a numb</w:t>
      </w:r>
      <w:r w:rsidR="001246B8">
        <w:rPr>
          <w:rFonts w:ascii="Times New Roman" w:hAnsi="Times New Roman" w:cs="Times New Roman"/>
          <w:sz w:val="20"/>
          <w:szCs w:val="20"/>
        </w:rPr>
        <w:t>er.  Park et al. (2004) conduct</w:t>
      </w:r>
      <w:r w:rsidRPr="00DA7AA4">
        <w:rPr>
          <w:rFonts w:ascii="Times New Roman" w:hAnsi="Times New Roman" w:cs="Times New Roman"/>
          <w:sz w:val="20"/>
          <w:szCs w:val="20"/>
        </w:rPr>
        <w:t xml:space="preserve"> a statistical analysis to estimate the impact of MNP on the competition and social welfare and conclude that the MNP has achieved effective competition in mobile market, but MNP has not</w:t>
      </w:r>
      <w:r w:rsidR="00545382">
        <w:rPr>
          <w:rFonts w:ascii="Times New Roman" w:hAnsi="Times New Roman" w:cs="Times New Roman"/>
          <w:sz w:val="20"/>
          <w:szCs w:val="20"/>
        </w:rPr>
        <w:t xml:space="preserve"> contribute</w:t>
      </w:r>
      <w:r w:rsidR="001246B8">
        <w:rPr>
          <w:rFonts w:ascii="Times New Roman" w:hAnsi="Times New Roman" w:cs="Times New Roman"/>
          <w:sz w:val="20"/>
          <w:szCs w:val="20"/>
        </w:rPr>
        <w:t>d</w:t>
      </w:r>
      <w:r w:rsidR="00545382">
        <w:rPr>
          <w:rFonts w:ascii="Times New Roman" w:hAnsi="Times New Roman" w:cs="Times New Roman"/>
          <w:sz w:val="20"/>
          <w:szCs w:val="20"/>
        </w:rPr>
        <w:t xml:space="preserve"> to social welfare. </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Buehler and </w:t>
      </w:r>
      <w:proofErr w:type="spellStart"/>
      <w:r w:rsidRPr="00DA7AA4">
        <w:rPr>
          <w:rFonts w:ascii="Times New Roman" w:hAnsi="Times New Roman" w:cs="Times New Roman"/>
          <w:sz w:val="20"/>
          <w:szCs w:val="20"/>
        </w:rPr>
        <w:t>Haucap</w:t>
      </w:r>
      <w:proofErr w:type="spellEnd"/>
      <w:r w:rsidRPr="00DA7AA4">
        <w:rPr>
          <w:rFonts w:ascii="Times New Roman" w:hAnsi="Times New Roman" w:cs="Times New Roman"/>
          <w:sz w:val="20"/>
          <w:szCs w:val="20"/>
        </w:rPr>
        <w:t xml:space="preserve"> (2004) also investigate the effect of MNP implementation on consumers’ welfare, especially in terms of the effect of MNP on level of information available to consumers. They argue that under MNP, number preﬁx has no indicative power. Since callers are not able to distinguish between on- and off-network phone numbers, they may end up paying higher than average bills. In effect, with MNP implementation while the new mobile operator beneﬁts, the incumbent will typically lose. They argue that MNP may result consumer ignorance which may limit the benefit of MNP for consumers. Their results further show that MNP will enhance consumer welfare if mobile termination rates are regulated by telecom industry regulators and the set up cos</w:t>
      </w:r>
      <w:r w:rsidR="00545382">
        <w:rPr>
          <w:rFonts w:ascii="Times New Roman" w:hAnsi="Times New Roman" w:cs="Times New Roman"/>
          <w:sz w:val="20"/>
          <w:szCs w:val="20"/>
        </w:rPr>
        <w:t xml:space="preserve">ts for MNP are not prohibitive </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There has been a growing interest in the MNP effects on customer </w:t>
      </w:r>
      <w:proofErr w:type="spellStart"/>
      <w:r w:rsidRPr="00DA7AA4">
        <w:rPr>
          <w:rFonts w:ascii="Times New Roman" w:hAnsi="Times New Roman" w:cs="Times New Roman"/>
          <w:sz w:val="20"/>
          <w:szCs w:val="20"/>
        </w:rPr>
        <w:t>behaviours</w:t>
      </w:r>
      <w:proofErr w:type="spellEnd"/>
      <w:r w:rsidRPr="00DA7AA4">
        <w:rPr>
          <w:rFonts w:ascii="Times New Roman" w:hAnsi="Times New Roman" w:cs="Times New Roman"/>
          <w:sz w:val="20"/>
          <w:szCs w:val="20"/>
        </w:rPr>
        <w:t xml:space="preserve"> in the past. In the USA, Shin (2006) investigates subscribers’ perception and </w:t>
      </w:r>
      <w:proofErr w:type="spellStart"/>
      <w:r w:rsidRPr="00DA7AA4">
        <w:rPr>
          <w:rFonts w:ascii="Times New Roman" w:hAnsi="Times New Roman" w:cs="Times New Roman"/>
          <w:sz w:val="20"/>
          <w:szCs w:val="20"/>
        </w:rPr>
        <w:t>behaviour</w:t>
      </w:r>
      <w:proofErr w:type="spellEnd"/>
      <w:r w:rsidRPr="00DA7AA4">
        <w:rPr>
          <w:rFonts w:ascii="Times New Roman" w:hAnsi="Times New Roman" w:cs="Times New Roman"/>
          <w:sz w:val="20"/>
          <w:szCs w:val="20"/>
        </w:rPr>
        <w:t xml:space="preserve"> towards MNP and found that, although MNP implementation is expected to lower switching cost and benefit consumers, carriers have increased subscriber lock-in by making subscribers sign long-term contracts, by increasing termination charges, and by imposing the burden of hidden costs. In effect, this adversely affects the effectiveness of MNP; subscribers still feel the high level of switching barriers after the introduction of MNP, there has been little effect on the competition in the USA mobile market.</w:t>
      </w:r>
    </w:p>
    <w:p w:rsidR="00EE6BD0" w:rsidRPr="00DA7AA4" w:rsidRDefault="00EE6BD0" w:rsidP="00DA7AA4">
      <w:pPr>
        <w:pStyle w:val="NoSpacing"/>
        <w:spacing w:line="276" w:lineRule="auto"/>
        <w:jc w:val="both"/>
        <w:rPr>
          <w:rFonts w:ascii="Times New Roman" w:hAnsi="Times New Roman" w:cs="Times New Roman"/>
          <w:sz w:val="20"/>
          <w:szCs w:val="20"/>
        </w:rPr>
      </w:pP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Lee et</w:t>
      </w:r>
      <w:r w:rsidR="00290E40">
        <w:rPr>
          <w:rFonts w:ascii="Times New Roman" w:hAnsi="Times New Roman" w:cs="Times New Roman"/>
          <w:sz w:val="20"/>
          <w:szCs w:val="20"/>
        </w:rPr>
        <w:t xml:space="preserve"> al. (2004) conclude</w:t>
      </w:r>
      <w:r w:rsidRPr="00DA7AA4">
        <w:rPr>
          <w:rFonts w:ascii="Times New Roman" w:hAnsi="Times New Roman" w:cs="Times New Roman"/>
          <w:sz w:val="20"/>
          <w:szCs w:val="20"/>
        </w:rPr>
        <w:t xml:space="preserve"> that MNP is an important cause of decreasing switching cost. Similarly, </w:t>
      </w:r>
      <w:proofErr w:type="spellStart"/>
      <w:r w:rsidRPr="00DA7AA4">
        <w:rPr>
          <w:rFonts w:ascii="Times New Roman" w:hAnsi="Times New Roman" w:cs="Times New Roman"/>
          <w:sz w:val="20"/>
          <w:szCs w:val="20"/>
        </w:rPr>
        <w:t>Gerpott</w:t>
      </w:r>
      <w:proofErr w:type="spellEnd"/>
      <w:r w:rsidRPr="00DA7AA4">
        <w:rPr>
          <w:rFonts w:ascii="Times New Roman" w:hAnsi="Times New Roman" w:cs="Times New Roman"/>
          <w:sz w:val="20"/>
          <w:szCs w:val="20"/>
        </w:rPr>
        <w:t xml:space="preserve"> et al. (2001) investigate the structural relationships of subscriber retention, subscriber satisfaction, and loyalty in German mobile subscribers. Their ﬁndings show that customer support has a signiﬁcant impact on subscriber loyalty which in turn inﬂuences a subscriber’s intention to terminate/extend the contractual relationship with his/her mobile carrier. </w:t>
      </w:r>
    </w:p>
    <w:p w:rsidR="00EE6BD0" w:rsidRPr="00DA7AA4" w:rsidRDefault="00EE6BD0" w:rsidP="00DA7AA4">
      <w:pPr>
        <w:pStyle w:val="NoSpacing"/>
        <w:spacing w:line="276" w:lineRule="auto"/>
        <w:jc w:val="both"/>
        <w:rPr>
          <w:rFonts w:ascii="Times New Roman" w:hAnsi="Times New Roman" w:cs="Times New Roman"/>
          <w:sz w:val="20"/>
          <w:szCs w:val="20"/>
        </w:rPr>
      </w:pP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Kim et al. (2003) use the </w:t>
      </w:r>
      <w:proofErr w:type="spellStart"/>
      <w:r w:rsidRPr="00DA7AA4">
        <w:rPr>
          <w:rFonts w:ascii="Times New Roman" w:hAnsi="Times New Roman" w:cs="Times New Roman"/>
          <w:sz w:val="20"/>
          <w:szCs w:val="20"/>
        </w:rPr>
        <w:t>Gerpott</w:t>
      </w:r>
      <w:proofErr w:type="spellEnd"/>
      <w:r w:rsidRPr="00DA7AA4">
        <w:rPr>
          <w:rFonts w:ascii="Times New Roman" w:hAnsi="Times New Roman" w:cs="Times New Roman"/>
          <w:sz w:val="20"/>
          <w:szCs w:val="20"/>
        </w:rPr>
        <w:t xml:space="preserve"> et al.’s (2004) model and apply it to Korean mobile market whose ﬁndings show that switching cost like switching number is considered as a formation factor of an important subscriber loyalty, preventing subscriber from churning for other carriers. </w:t>
      </w:r>
      <w:proofErr w:type="spellStart"/>
      <w:r w:rsidRPr="00DA7AA4">
        <w:rPr>
          <w:rFonts w:ascii="Times New Roman" w:hAnsi="Times New Roman" w:cs="Times New Roman"/>
          <w:sz w:val="20"/>
          <w:szCs w:val="20"/>
        </w:rPr>
        <w:t>Bjorkroth</w:t>
      </w:r>
      <w:proofErr w:type="spellEnd"/>
      <w:r w:rsidRPr="00DA7AA4">
        <w:rPr>
          <w:rFonts w:ascii="Times New Roman" w:hAnsi="Times New Roman" w:cs="Times New Roman"/>
          <w:sz w:val="20"/>
          <w:szCs w:val="20"/>
        </w:rPr>
        <w:t xml:space="preserve"> (2005) researches into the cost of MNP administration in Finland mobile carriers before and after MNP. </w:t>
      </w:r>
      <w:proofErr w:type="spellStart"/>
      <w:r w:rsidRPr="00DA7AA4">
        <w:rPr>
          <w:rFonts w:ascii="Times New Roman" w:hAnsi="Times New Roman" w:cs="Times New Roman"/>
          <w:sz w:val="20"/>
          <w:szCs w:val="20"/>
        </w:rPr>
        <w:t>Bjorkroth</w:t>
      </w:r>
      <w:proofErr w:type="spellEnd"/>
      <w:r w:rsidRPr="00DA7AA4">
        <w:rPr>
          <w:rFonts w:ascii="Times New Roman" w:hAnsi="Times New Roman" w:cs="Times New Roman"/>
          <w:sz w:val="20"/>
          <w:szCs w:val="20"/>
        </w:rPr>
        <w:t xml:space="preserve"> (2005) found that switching cost is lowered considerably and that the threshold to switch from the largest operator has been considerably lowered since the introduction of MNP. This was attributed to decreasing information</w:t>
      </w:r>
      <w:r w:rsidR="00545382">
        <w:rPr>
          <w:rFonts w:ascii="Times New Roman" w:hAnsi="Times New Roman" w:cs="Times New Roman"/>
          <w:sz w:val="20"/>
          <w:szCs w:val="20"/>
        </w:rPr>
        <w:t>al costs and contractual costs.</w:t>
      </w:r>
    </w:p>
    <w:p w:rsidR="009F00AC" w:rsidRDefault="009F00AC" w:rsidP="00DA7AA4">
      <w:pPr>
        <w:pStyle w:val="NoSpacing"/>
        <w:spacing w:line="276" w:lineRule="auto"/>
        <w:jc w:val="both"/>
        <w:rPr>
          <w:rFonts w:ascii="Times New Roman" w:hAnsi="Times New Roman" w:cs="Times New Roman"/>
          <w:sz w:val="20"/>
          <w:szCs w:val="20"/>
        </w:rPr>
      </w:pP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Shin and Kim (2007) investigate subscribers’ </w:t>
      </w:r>
      <w:proofErr w:type="spellStart"/>
      <w:r w:rsidRPr="00DA7AA4">
        <w:rPr>
          <w:rFonts w:ascii="Times New Roman" w:hAnsi="Times New Roman" w:cs="Times New Roman"/>
          <w:sz w:val="20"/>
          <w:szCs w:val="20"/>
        </w:rPr>
        <w:t>behaviour</w:t>
      </w:r>
      <w:proofErr w:type="spellEnd"/>
      <w:r w:rsidRPr="00DA7AA4">
        <w:rPr>
          <w:rFonts w:ascii="Times New Roman" w:hAnsi="Times New Roman" w:cs="Times New Roman"/>
          <w:sz w:val="20"/>
          <w:szCs w:val="20"/>
        </w:rPr>
        <w:t xml:space="preserve"> and perceptions toward switching after the introducing of MNP in Korean telecom industry. They observe that there is a lack of understanding of the full implications of MNP, which means that MNP has not always translated into consumer beneﬁts. Their results show that MNP has not </w:t>
      </w:r>
      <w:r w:rsidRPr="00DA7AA4">
        <w:rPr>
          <w:rFonts w:ascii="Times New Roman" w:hAnsi="Times New Roman" w:cs="Times New Roman"/>
          <w:sz w:val="20"/>
          <w:szCs w:val="20"/>
        </w:rPr>
        <w:lastRenderedPageBreak/>
        <w:t>signiﬁcantly contributed to the regulator’s goal of remo</w:t>
      </w:r>
      <w:r w:rsidR="009F00AC">
        <w:rPr>
          <w:rFonts w:ascii="Times New Roman" w:hAnsi="Times New Roman" w:cs="Times New Roman"/>
          <w:sz w:val="20"/>
          <w:szCs w:val="20"/>
        </w:rPr>
        <w:t>ving switching barriers that are</w:t>
      </w:r>
      <w:r w:rsidRPr="00DA7AA4">
        <w:rPr>
          <w:rFonts w:ascii="Times New Roman" w:hAnsi="Times New Roman" w:cs="Times New Roman"/>
          <w:sz w:val="20"/>
          <w:szCs w:val="20"/>
        </w:rPr>
        <w:t xml:space="preserve"> prevalent in subscribers’ perception, and that though MNP has lower switching costs, the remaining potential sw</w:t>
      </w:r>
      <w:r w:rsidR="00545382">
        <w:rPr>
          <w:rFonts w:ascii="Times New Roman" w:hAnsi="Times New Roman" w:cs="Times New Roman"/>
          <w:sz w:val="20"/>
          <w:szCs w:val="20"/>
        </w:rPr>
        <w:t xml:space="preserve">itching costs are still large. </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They, however, admit that MNP has indirectly enhanced switching barriers through the increased subscriber lock-in strategy and its tactics. Their findings are partially consistent with other studies on Korean MNP such as Park et al. (2007) and Lee et al. (2006), which report a brand effect among subscribers that they feel MNP demands differently. Although number portability is designed to beneﬁt consumers, it becomes possible that the corresponding increase in marginal cost of production reduces consumer surplus and makes ent</w:t>
      </w:r>
      <w:r w:rsidR="00545382">
        <w:rPr>
          <w:rFonts w:ascii="Times New Roman" w:hAnsi="Times New Roman" w:cs="Times New Roman"/>
          <w:sz w:val="20"/>
          <w:szCs w:val="20"/>
        </w:rPr>
        <w:t xml:space="preserve">rants and consumers worse off. </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Aoki and Small (1999) ﬁnd that it is also possible for consumers to receive fewer beneﬁts following a reduction in the cost of switching between carriers. The authors note MNP is not always and everywhere socially beneﬁcial, therefore future studies may further research on this discrepancy. </w:t>
      </w:r>
    </w:p>
    <w:p w:rsidR="00EE6BD0" w:rsidRPr="00DA7AA4" w:rsidRDefault="00EE6BD0" w:rsidP="00DA7AA4">
      <w:pPr>
        <w:pStyle w:val="NoSpacing"/>
        <w:spacing w:line="276" w:lineRule="auto"/>
        <w:jc w:val="both"/>
        <w:rPr>
          <w:rFonts w:ascii="Times New Roman" w:hAnsi="Times New Roman" w:cs="Times New Roman"/>
          <w:sz w:val="20"/>
          <w:szCs w:val="20"/>
        </w:rPr>
      </w:pP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Thus, previous studies have </w:t>
      </w:r>
      <w:proofErr w:type="spellStart"/>
      <w:r w:rsidRPr="00DA7AA4">
        <w:rPr>
          <w:rFonts w:ascii="Times New Roman" w:hAnsi="Times New Roman" w:cs="Times New Roman"/>
          <w:sz w:val="20"/>
          <w:szCs w:val="20"/>
        </w:rPr>
        <w:t>emphasised</w:t>
      </w:r>
      <w:proofErr w:type="spellEnd"/>
      <w:r w:rsidRPr="00DA7AA4">
        <w:rPr>
          <w:rFonts w:ascii="Times New Roman" w:hAnsi="Times New Roman" w:cs="Times New Roman"/>
          <w:sz w:val="20"/>
          <w:szCs w:val="20"/>
        </w:rPr>
        <w:t xml:space="preserve"> the rele</w:t>
      </w:r>
      <w:r w:rsidR="001703CD">
        <w:rPr>
          <w:rFonts w:ascii="Times New Roman" w:hAnsi="Times New Roman" w:cs="Times New Roman"/>
          <w:sz w:val="20"/>
          <w:szCs w:val="20"/>
        </w:rPr>
        <w:t>vance of MNP but have noted</w:t>
      </w:r>
      <w:r w:rsidRPr="00DA7AA4">
        <w:rPr>
          <w:rFonts w:ascii="Times New Roman" w:hAnsi="Times New Roman" w:cs="Times New Roman"/>
          <w:sz w:val="20"/>
          <w:szCs w:val="20"/>
        </w:rPr>
        <w:t xml:space="preserve"> the discrepancy found across countries regarding the benefits of MNP</w:t>
      </w:r>
      <w:r w:rsidR="001703CD">
        <w:rPr>
          <w:rFonts w:ascii="Times New Roman" w:hAnsi="Times New Roman" w:cs="Times New Roman"/>
          <w:sz w:val="20"/>
          <w:szCs w:val="20"/>
        </w:rPr>
        <w:t xml:space="preserve">. These studies have also </w:t>
      </w:r>
      <w:r w:rsidRPr="00DA7AA4">
        <w:rPr>
          <w:rFonts w:ascii="Times New Roman" w:hAnsi="Times New Roman" w:cs="Times New Roman"/>
          <w:sz w:val="20"/>
          <w:szCs w:val="20"/>
        </w:rPr>
        <w:t>suggested tha</w:t>
      </w:r>
      <w:r w:rsidR="00CE3551">
        <w:rPr>
          <w:rFonts w:ascii="Times New Roman" w:hAnsi="Times New Roman" w:cs="Times New Roman"/>
          <w:sz w:val="20"/>
          <w:szCs w:val="20"/>
        </w:rPr>
        <w:t xml:space="preserve">t regulators should not just </w:t>
      </w:r>
      <w:r w:rsidRPr="00DA7AA4">
        <w:rPr>
          <w:rFonts w:ascii="Times New Roman" w:hAnsi="Times New Roman" w:cs="Times New Roman"/>
          <w:sz w:val="20"/>
          <w:szCs w:val="20"/>
        </w:rPr>
        <w:t xml:space="preserve">enforce MNP, but need to develop socially desirable and economically competitive policy. Regulators are also to seek to reduce consumer ignorance (or misconception) and raise customers’ perceptions on MNP. This argument can be supported by previous research of Wright (2002) and </w:t>
      </w:r>
      <w:proofErr w:type="spellStart"/>
      <w:r w:rsidRPr="00DA7AA4">
        <w:rPr>
          <w:rFonts w:ascii="Times New Roman" w:hAnsi="Times New Roman" w:cs="Times New Roman"/>
          <w:sz w:val="20"/>
          <w:szCs w:val="20"/>
        </w:rPr>
        <w:t>Gand</w:t>
      </w:r>
      <w:proofErr w:type="spellEnd"/>
      <w:r w:rsidRPr="00DA7AA4">
        <w:rPr>
          <w:rFonts w:ascii="Times New Roman" w:hAnsi="Times New Roman" w:cs="Times New Roman"/>
          <w:sz w:val="20"/>
          <w:szCs w:val="20"/>
        </w:rPr>
        <w:t xml:space="preserve"> and King (2000) who investigate the effects of consumer ignorance of relevant pricing and suggest that MNP may deteriora</w:t>
      </w:r>
      <w:r w:rsidR="008F02A7">
        <w:rPr>
          <w:rFonts w:ascii="Times New Roman" w:hAnsi="Times New Roman" w:cs="Times New Roman"/>
          <w:sz w:val="20"/>
          <w:szCs w:val="20"/>
        </w:rPr>
        <w:t>te the customers’ price</w:t>
      </w:r>
      <w:r w:rsidRPr="00DA7AA4">
        <w:rPr>
          <w:rFonts w:ascii="Times New Roman" w:hAnsi="Times New Roman" w:cs="Times New Roman"/>
          <w:sz w:val="20"/>
          <w:szCs w:val="20"/>
        </w:rPr>
        <w:t xml:space="preserve"> information. It has also been noted that regulators face difﬁcult practical decisions of MNP when and how to implement it, and how to reap these beneﬁts (Shin </w:t>
      </w:r>
      <w:r w:rsidR="00646D41">
        <w:rPr>
          <w:rFonts w:ascii="Times New Roman" w:hAnsi="Times New Roman" w:cs="Times New Roman"/>
          <w:sz w:val="20"/>
          <w:szCs w:val="20"/>
        </w:rPr>
        <w:t>and</w:t>
      </w:r>
      <w:r w:rsidRPr="00DA7AA4">
        <w:rPr>
          <w:rFonts w:ascii="Times New Roman" w:hAnsi="Times New Roman" w:cs="Times New Roman"/>
          <w:sz w:val="20"/>
          <w:szCs w:val="20"/>
        </w:rPr>
        <w:t xml:space="preserve"> Kim, 2007).</w:t>
      </w:r>
    </w:p>
    <w:p w:rsidR="009965EC" w:rsidRPr="00DA7AA4" w:rsidRDefault="009965EC" w:rsidP="00DA7AA4">
      <w:pPr>
        <w:pStyle w:val="NoSpacing"/>
        <w:spacing w:line="276" w:lineRule="auto"/>
        <w:jc w:val="both"/>
        <w:rPr>
          <w:rFonts w:ascii="Times New Roman" w:hAnsi="Times New Roman" w:cs="Times New Roman"/>
          <w:sz w:val="20"/>
          <w:szCs w:val="20"/>
        </w:rPr>
      </w:pPr>
    </w:p>
    <w:p w:rsidR="00EE6BD0" w:rsidRPr="001D01CA" w:rsidRDefault="00EE6BD0" w:rsidP="00DA7AA4">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MNP Research in Developing Country Context</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Relatively few studies have been done in MNP in developing country context. In South Africa, </w:t>
      </w:r>
      <w:proofErr w:type="spellStart"/>
      <w:r w:rsidRPr="00DA7AA4">
        <w:rPr>
          <w:rFonts w:ascii="Times New Roman" w:hAnsi="Times New Roman" w:cs="Times New Roman"/>
          <w:sz w:val="20"/>
          <w:szCs w:val="20"/>
        </w:rPr>
        <w:t>Chweya</w:t>
      </w:r>
      <w:proofErr w:type="spellEnd"/>
      <w:r w:rsidRPr="00DA7AA4">
        <w:rPr>
          <w:rFonts w:ascii="Times New Roman" w:hAnsi="Times New Roman" w:cs="Times New Roman"/>
          <w:sz w:val="20"/>
          <w:szCs w:val="20"/>
        </w:rPr>
        <w:t xml:space="preserve"> (2013) found that MNP implementation is intensifying competition among industry players. Customers have been worried over service quality issues and especially delays in the porting process.  </w:t>
      </w:r>
      <w:proofErr w:type="spellStart"/>
      <w:r w:rsidRPr="00DA7AA4">
        <w:rPr>
          <w:rFonts w:ascii="Times New Roman" w:hAnsi="Times New Roman" w:cs="Times New Roman"/>
          <w:sz w:val="20"/>
          <w:szCs w:val="20"/>
        </w:rPr>
        <w:t>Odunaike</w:t>
      </w:r>
      <w:proofErr w:type="spellEnd"/>
      <w:r w:rsidRPr="00DA7AA4">
        <w:rPr>
          <w:rFonts w:ascii="Times New Roman" w:hAnsi="Times New Roman" w:cs="Times New Roman"/>
          <w:sz w:val="20"/>
          <w:szCs w:val="20"/>
        </w:rPr>
        <w:t xml:space="preserve"> (2010) studied MNP among college students. He notes that there is evidence of little or no participation of MNP among college students, and argues that the threats </w:t>
      </w:r>
      <w:proofErr w:type="spellStart"/>
      <w:r w:rsidRPr="00DA7AA4">
        <w:rPr>
          <w:rFonts w:ascii="Times New Roman" w:hAnsi="Times New Roman" w:cs="Times New Roman"/>
          <w:sz w:val="20"/>
          <w:szCs w:val="20"/>
        </w:rPr>
        <w:t>poised</w:t>
      </w:r>
      <w:proofErr w:type="spellEnd"/>
      <w:r w:rsidRPr="00DA7AA4">
        <w:rPr>
          <w:rFonts w:ascii="Times New Roman" w:hAnsi="Times New Roman" w:cs="Times New Roman"/>
          <w:sz w:val="20"/>
          <w:szCs w:val="20"/>
        </w:rPr>
        <w:t xml:space="preserve"> by MNP functionalities regarding the loss of customer base automatically have great impact on the costing which in turn impacted on the high online connectivity rate among the college students. </w:t>
      </w:r>
    </w:p>
    <w:p w:rsidR="00EE6BD0" w:rsidRPr="00DA7AA4" w:rsidRDefault="00EE6BD0" w:rsidP="00DA7AA4">
      <w:pPr>
        <w:pStyle w:val="NoSpacing"/>
        <w:spacing w:line="276" w:lineRule="auto"/>
        <w:jc w:val="both"/>
        <w:rPr>
          <w:rFonts w:ascii="Times New Roman" w:hAnsi="Times New Roman" w:cs="Times New Roman"/>
          <w:sz w:val="20"/>
          <w:szCs w:val="20"/>
        </w:rPr>
      </w:pPr>
    </w:p>
    <w:p w:rsidR="00EE6BD0" w:rsidRPr="00DA7AA4" w:rsidRDefault="00EE6BD0" w:rsidP="00DA7AA4">
      <w:pPr>
        <w:pStyle w:val="NoSpacing"/>
        <w:spacing w:line="276" w:lineRule="auto"/>
        <w:jc w:val="both"/>
        <w:rPr>
          <w:rFonts w:ascii="Times New Roman" w:hAnsi="Times New Roman" w:cs="Times New Roman"/>
          <w:sz w:val="20"/>
          <w:szCs w:val="20"/>
        </w:rPr>
      </w:pPr>
      <w:proofErr w:type="spellStart"/>
      <w:r w:rsidRPr="00DA7AA4">
        <w:rPr>
          <w:rFonts w:ascii="Times New Roman" w:hAnsi="Times New Roman" w:cs="Times New Roman"/>
          <w:sz w:val="20"/>
          <w:szCs w:val="20"/>
        </w:rPr>
        <w:t>Dube</w:t>
      </w:r>
      <w:proofErr w:type="spellEnd"/>
      <w:r w:rsidRPr="00DA7AA4">
        <w:rPr>
          <w:rFonts w:ascii="Times New Roman" w:hAnsi="Times New Roman" w:cs="Times New Roman"/>
          <w:sz w:val="20"/>
          <w:szCs w:val="20"/>
        </w:rPr>
        <w:t xml:space="preserve"> (2011) also found that in South Africa, policy and regulations on MNP had both positive and negative effects. They maintain that although consumers are now able to switch operators whilst keeping their numbers, prices still remain uncompetitive and quality of service is yet to improv</w:t>
      </w:r>
      <w:r w:rsidR="008F02A7">
        <w:rPr>
          <w:rFonts w:ascii="Times New Roman" w:hAnsi="Times New Roman" w:cs="Times New Roman"/>
          <w:sz w:val="20"/>
          <w:szCs w:val="20"/>
        </w:rPr>
        <w:t>e. Since MNP implementation has</w:t>
      </w:r>
      <w:r w:rsidRPr="00DA7AA4">
        <w:rPr>
          <w:rFonts w:ascii="Times New Roman" w:hAnsi="Times New Roman" w:cs="Times New Roman"/>
          <w:sz w:val="20"/>
          <w:szCs w:val="20"/>
        </w:rPr>
        <w:t xml:space="preserve"> not been able to reduce prices according to consumers’ expectation. This is likely to affect potential mobile subscribers’ attitude, perceived benefit of the MNP facility and therefore consumer </w:t>
      </w:r>
      <w:r w:rsidR="009C7EEE">
        <w:rPr>
          <w:rFonts w:ascii="Times New Roman" w:hAnsi="Times New Roman" w:cs="Times New Roman"/>
          <w:sz w:val="20"/>
          <w:szCs w:val="20"/>
        </w:rPr>
        <w:t>adoption of</w:t>
      </w:r>
      <w:r w:rsidRPr="00DA7AA4">
        <w:rPr>
          <w:rFonts w:ascii="Times New Roman" w:hAnsi="Times New Roman" w:cs="Times New Roman"/>
          <w:sz w:val="20"/>
          <w:szCs w:val="20"/>
        </w:rPr>
        <w:t xml:space="preserve"> MNP in </w:t>
      </w:r>
      <w:r w:rsidR="009C7EEE">
        <w:rPr>
          <w:rFonts w:ascii="Times New Roman" w:hAnsi="Times New Roman" w:cs="Times New Roman"/>
          <w:sz w:val="20"/>
          <w:szCs w:val="20"/>
        </w:rPr>
        <w:t>mobile telecom industry (MTI)</w:t>
      </w:r>
      <w:r w:rsidRPr="00DA7AA4">
        <w:rPr>
          <w:rFonts w:ascii="Times New Roman" w:hAnsi="Times New Roman" w:cs="Times New Roman"/>
          <w:sz w:val="20"/>
          <w:szCs w:val="20"/>
        </w:rPr>
        <w:t xml:space="preserve"> in South Africa.</w:t>
      </w:r>
    </w:p>
    <w:p w:rsidR="00EE6BD0" w:rsidRPr="00DA7AA4"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 xml:space="preserve">In Nigeria, prior to the implementation of MNP, </w:t>
      </w:r>
      <w:proofErr w:type="spellStart"/>
      <w:r w:rsidRPr="00DA7AA4">
        <w:rPr>
          <w:rFonts w:ascii="Times New Roman" w:hAnsi="Times New Roman" w:cs="Times New Roman"/>
          <w:sz w:val="20"/>
          <w:szCs w:val="20"/>
        </w:rPr>
        <w:t>Tiamiyu</w:t>
      </w:r>
      <w:proofErr w:type="spellEnd"/>
      <w:r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Pr="00DA7AA4">
        <w:rPr>
          <w:rFonts w:ascii="Times New Roman" w:hAnsi="Times New Roman" w:cs="Times New Roman"/>
          <w:sz w:val="20"/>
          <w:szCs w:val="20"/>
        </w:rPr>
        <w:t xml:space="preserve"> </w:t>
      </w:r>
      <w:proofErr w:type="spellStart"/>
      <w:r w:rsidRPr="00DA7AA4">
        <w:rPr>
          <w:rFonts w:ascii="Times New Roman" w:hAnsi="Times New Roman" w:cs="Times New Roman"/>
          <w:sz w:val="20"/>
          <w:szCs w:val="20"/>
        </w:rPr>
        <w:t>Mejabi</w:t>
      </w:r>
      <w:proofErr w:type="spellEnd"/>
      <w:r w:rsidRPr="00DA7AA4">
        <w:rPr>
          <w:rFonts w:ascii="Times New Roman" w:hAnsi="Times New Roman" w:cs="Times New Roman"/>
          <w:sz w:val="20"/>
          <w:szCs w:val="20"/>
        </w:rPr>
        <w:t xml:space="preserve"> (2012) studied subscribers’ attitude towards MNP. They found </w:t>
      </w:r>
      <w:r w:rsidR="009C7EEE">
        <w:rPr>
          <w:rFonts w:ascii="Times New Roman" w:hAnsi="Times New Roman" w:cs="Times New Roman"/>
          <w:sz w:val="20"/>
          <w:szCs w:val="20"/>
        </w:rPr>
        <w:t xml:space="preserve">out that </w:t>
      </w:r>
      <w:r w:rsidRPr="00DA7AA4">
        <w:rPr>
          <w:rFonts w:ascii="Times New Roman" w:hAnsi="Times New Roman" w:cs="Times New Roman"/>
          <w:sz w:val="20"/>
          <w:szCs w:val="20"/>
        </w:rPr>
        <w:t>while most subscribers supported the implementation of MNP in Nigeria, a significant proportion believed that tariffs would not drop as long as the power problem continued. Furthermore, their results showed that demographic variables such as marital status, income and age had influence on subscriber attitu</w:t>
      </w:r>
      <w:r w:rsidR="00FE6579">
        <w:rPr>
          <w:rFonts w:ascii="Times New Roman" w:hAnsi="Times New Roman" w:cs="Times New Roman"/>
          <w:sz w:val="20"/>
          <w:szCs w:val="20"/>
        </w:rPr>
        <w:t xml:space="preserve">des, with age influencing most </w:t>
      </w:r>
      <w:r w:rsidRPr="00DA7AA4">
        <w:rPr>
          <w:rFonts w:ascii="Times New Roman" w:hAnsi="Times New Roman" w:cs="Times New Roman"/>
          <w:sz w:val="20"/>
          <w:szCs w:val="20"/>
        </w:rPr>
        <w:t>aspects of the subscriber attitudes and perceptions towards MNP in Nigeria.</w:t>
      </w:r>
    </w:p>
    <w:p w:rsidR="00EE6BD0" w:rsidRPr="00DA7AA4" w:rsidRDefault="00EE6BD0" w:rsidP="00DA7AA4">
      <w:pPr>
        <w:pStyle w:val="NoSpacing"/>
        <w:spacing w:line="276" w:lineRule="auto"/>
        <w:jc w:val="both"/>
        <w:rPr>
          <w:rFonts w:ascii="Times New Roman" w:hAnsi="Times New Roman" w:cs="Times New Roman"/>
          <w:sz w:val="20"/>
          <w:szCs w:val="20"/>
        </w:rPr>
      </w:pPr>
    </w:p>
    <w:p w:rsidR="00EE6BD0" w:rsidRPr="00DA7AA4" w:rsidRDefault="00545382" w:rsidP="00DA7AA4">
      <w:pPr>
        <w:pStyle w:val="NoSpacing"/>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In Kenya, </w:t>
      </w:r>
      <w:proofErr w:type="spellStart"/>
      <w:r>
        <w:rPr>
          <w:rFonts w:ascii="Times New Roman" w:hAnsi="Times New Roman" w:cs="Times New Roman"/>
          <w:sz w:val="20"/>
          <w:szCs w:val="20"/>
        </w:rPr>
        <w:t>Kagwathi</w:t>
      </w:r>
      <w:proofErr w:type="spellEnd"/>
      <w:r>
        <w:rPr>
          <w:rFonts w:ascii="Times New Roman" w:hAnsi="Times New Roman" w:cs="Times New Roman"/>
          <w:sz w:val="20"/>
          <w:szCs w:val="20"/>
        </w:rPr>
        <w:t xml:space="preserve"> et al. </w:t>
      </w:r>
      <w:r w:rsidR="00EE6BD0" w:rsidRPr="00DA7AA4">
        <w:rPr>
          <w:rFonts w:ascii="Times New Roman" w:hAnsi="Times New Roman" w:cs="Times New Roman"/>
          <w:sz w:val="20"/>
          <w:szCs w:val="20"/>
        </w:rPr>
        <w:t xml:space="preserve">(2013) found ten factors that influence mobile number portability adoption. These factors include exit barriers, other cost, challenging and delay porting process, customer service, satisfaction, competition incentive among others. </w:t>
      </w:r>
      <w:r w:rsidR="00E77715" w:rsidRPr="00DA7AA4">
        <w:rPr>
          <w:rFonts w:ascii="Times New Roman" w:hAnsi="Times New Roman" w:cs="Times New Roman"/>
          <w:sz w:val="20"/>
          <w:szCs w:val="20"/>
        </w:rPr>
        <w:t xml:space="preserve">Similarly, </w:t>
      </w:r>
      <w:proofErr w:type="spellStart"/>
      <w:r w:rsidR="00E77715" w:rsidRPr="00DA7AA4">
        <w:rPr>
          <w:rFonts w:ascii="Times New Roman" w:hAnsi="Times New Roman" w:cs="Times New Roman"/>
          <w:sz w:val="20"/>
          <w:szCs w:val="20"/>
        </w:rPr>
        <w:t>Ooko</w:t>
      </w:r>
      <w:proofErr w:type="spellEnd"/>
      <w:r w:rsidR="00E77715" w:rsidRPr="00DA7AA4">
        <w:rPr>
          <w:rFonts w:ascii="Times New Roman" w:hAnsi="Times New Roman" w:cs="Times New Roman"/>
          <w:sz w:val="20"/>
          <w:szCs w:val="20"/>
        </w:rPr>
        <w:t xml:space="preserve">, </w:t>
      </w:r>
      <w:proofErr w:type="spellStart"/>
      <w:r w:rsidR="00E77715" w:rsidRPr="00DA7AA4">
        <w:rPr>
          <w:rFonts w:ascii="Times New Roman" w:hAnsi="Times New Roman" w:cs="Times New Roman"/>
          <w:sz w:val="20"/>
          <w:szCs w:val="20"/>
        </w:rPr>
        <w:t>Nzomoi</w:t>
      </w:r>
      <w:proofErr w:type="spellEnd"/>
      <w:r w:rsidR="00E77715" w:rsidRPr="00DA7AA4">
        <w:rPr>
          <w:rFonts w:ascii="Times New Roman" w:hAnsi="Times New Roman" w:cs="Times New Roman"/>
          <w:sz w:val="20"/>
          <w:szCs w:val="20"/>
        </w:rPr>
        <w:t xml:space="preserve">, </w:t>
      </w:r>
      <w:r w:rsidR="00646D41">
        <w:rPr>
          <w:rFonts w:ascii="Times New Roman" w:hAnsi="Times New Roman" w:cs="Times New Roman"/>
          <w:sz w:val="20"/>
          <w:szCs w:val="20"/>
        </w:rPr>
        <w:t>and</w:t>
      </w:r>
      <w:r w:rsidR="00E77715" w:rsidRPr="00DA7AA4">
        <w:rPr>
          <w:rFonts w:ascii="Times New Roman" w:hAnsi="Times New Roman" w:cs="Times New Roman"/>
          <w:sz w:val="20"/>
          <w:szCs w:val="20"/>
        </w:rPr>
        <w:t xml:space="preserve"> </w:t>
      </w:r>
      <w:proofErr w:type="spellStart"/>
      <w:r w:rsidR="00E77715" w:rsidRPr="00DA7AA4">
        <w:rPr>
          <w:rFonts w:ascii="Times New Roman" w:hAnsi="Times New Roman" w:cs="Times New Roman"/>
          <w:sz w:val="20"/>
          <w:szCs w:val="20"/>
        </w:rPr>
        <w:t>Mumo</w:t>
      </w:r>
      <w:proofErr w:type="spellEnd"/>
      <w:r w:rsidR="00E77715" w:rsidRPr="00DA7AA4">
        <w:rPr>
          <w:rFonts w:ascii="Times New Roman" w:hAnsi="Times New Roman" w:cs="Times New Roman"/>
          <w:sz w:val="20"/>
          <w:szCs w:val="20"/>
        </w:rPr>
        <w:t xml:space="preserve"> (2014) found that after the introduction of MNP in Kenya on April 1st 2011, </w:t>
      </w:r>
      <w:r w:rsidR="00113985" w:rsidRPr="00DA7AA4">
        <w:rPr>
          <w:rFonts w:ascii="Times New Roman" w:hAnsi="Times New Roman" w:cs="Times New Roman"/>
          <w:sz w:val="20"/>
          <w:szCs w:val="20"/>
        </w:rPr>
        <w:t xml:space="preserve">the porting </w:t>
      </w:r>
      <w:r w:rsidR="00E77715" w:rsidRPr="00DA7AA4">
        <w:rPr>
          <w:rFonts w:ascii="Times New Roman" w:hAnsi="Times New Roman" w:cs="Times New Roman"/>
          <w:sz w:val="20"/>
          <w:szCs w:val="20"/>
        </w:rPr>
        <w:t>process has not been so smooth and identified ten factors that influenced</w:t>
      </w:r>
      <w:r w:rsidR="00113985" w:rsidRPr="00DA7AA4">
        <w:rPr>
          <w:rFonts w:ascii="Times New Roman" w:hAnsi="Times New Roman" w:cs="Times New Roman"/>
          <w:sz w:val="20"/>
          <w:szCs w:val="20"/>
        </w:rPr>
        <w:t xml:space="preserve"> mobi</w:t>
      </w:r>
      <w:r w:rsidR="00E77715" w:rsidRPr="00DA7AA4">
        <w:rPr>
          <w:rFonts w:ascii="Times New Roman" w:hAnsi="Times New Roman" w:cs="Times New Roman"/>
          <w:sz w:val="20"/>
          <w:szCs w:val="20"/>
        </w:rPr>
        <w:t xml:space="preserve">le number portability including </w:t>
      </w:r>
      <w:r w:rsidR="00113985" w:rsidRPr="00DA7AA4">
        <w:rPr>
          <w:rFonts w:ascii="Times New Roman" w:hAnsi="Times New Roman" w:cs="Times New Roman"/>
          <w:sz w:val="20"/>
          <w:szCs w:val="20"/>
        </w:rPr>
        <w:t>exit barriers, cost, process,</w:t>
      </w:r>
      <w:r w:rsidR="00E77715" w:rsidRPr="00DA7AA4">
        <w:rPr>
          <w:rFonts w:ascii="Times New Roman" w:hAnsi="Times New Roman" w:cs="Times New Roman"/>
          <w:sz w:val="20"/>
          <w:szCs w:val="20"/>
        </w:rPr>
        <w:t xml:space="preserve"> </w:t>
      </w:r>
      <w:r w:rsidR="00113985" w:rsidRPr="00DA7AA4">
        <w:rPr>
          <w:rFonts w:ascii="Times New Roman" w:hAnsi="Times New Roman" w:cs="Times New Roman"/>
          <w:sz w:val="20"/>
          <w:szCs w:val="20"/>
        </w:rPr>
        <w:t>customer service, satisfaction among others.</w:t>
      </w:r>
    </w:p>
    <w:p w:rsidR="00EE6BD0" w:rsidRPr="00DA7AA4" w:rsidRDefault="00EE6BD0" w:rsidP="00DA7AA4">
      <w:pPr>
        <w:pStyle w:val="NoSpacing"/>
        <w:spacing w:line="276" w:lineRule="auto"/>
        <w:jc w:val="both"/>
        <w:rPr>
          <w:rFonts w:ascii="Times New Roman" w:hAnsi="Times New Roman" w:cs="Times New Roman"/>
          <w:sz w:val="20"/>
          <w:szCs w:val="20"/>
        </w:rPr>
      </w:pPr>
    </w:p>
    <w:p w:rsidR="003153ED" w:rsidRDefault="00EE6BD0" w:rsidP="00DA7AA4">
      <w:pPr>
        <w:pStyle w:val="NoSpacing"/>
        <w:spacing w:line="276" w:lineRule="auto"/>
        <w:jc w:val="both"/>
        <w:rPr>
          <w:rFonts w:ascii="Times New Roman" w:hAnsi="Times New Roman" w:cs="Times New Roman"/>
          <w:sz w:val="20"/>
          <w:szCs w:val="20"/>
        </w:rPr>
      </w:pPr>
      <w:r w:rsidRPr="00DA7AA4">
        <w:rPr>
          <w:rFonts w:ascii="Times New Roman" w:hAnsi="Times New Roman" w:cs="Times New Roman"/>
          <w:sz w:val="20"/>
          <w:szCs w:val="20"/>
        </w:rPr>
        <w:t>In Ghana, existing literature on MNP has focused only on a review of MNP and the implementation architecture, relying mostly on secondary dat</w:t>
      </w:r>
      <w:r w:rsidR="00545382">
        <w:rPr>
          <w:rFonts w:ascii="Times New Roman" w:hAnsi="Times New Roman" w:cs="Times New Roman"/>
          <w:sz w:val="20"/>
          <w:szCs w:val="20"/>
        </w:rPr>
        <w:t xml:space="preserve">a provided by NCA (e.g. </w:t>
      </w:r>
      <w:proofErr w:type="spellStart"/>
      <w:r w:rsidR="00545382">
        <w:rPr>
          <w:rFonts w:ascii="Times New Roman" w:hAnsi="Times New Roman" w:cs="Times New Roman"/>
          <w:sz w:val="20"/>
          <w:szCs w:val="20"/>
        </w:rPr>
        <w:t>Agyekum</w:t>
      </w:r>
      <w:proofErr w:type="spellEnd"/>
      <w:r w:rsidR="00545382">
        <w:rPr>
          <w:rFonts w:ascii="Times New Roman" w:hAnsi="Times New Roman" w:cs="Times New Roman"/>
          <w:sz w:val="20"/>
          <w:szCs w:val="20"/>
        </w:rPr>
        <w:t xml:space="preserve"> et al. 2013; </w:t>
      </w:r>
      <w:proofErr w:type="spellStart"/>
      <w:r w:rsidR="00545382">
        <w:rPr>
          <w:rFonts w:ascii="Times New Roman" w:hAnsi="Times New Roman" w:cs="Times New Roman"/>
          <w:sz w:val="20"/>
          <w:szCs w:val="20"/>
        </w:rPr>
        <w:t>Larkotey</w:t>
      </w:r>
      <w:proofErr w:type="spellEnd"/>
      <w:r w:rsidR="00545382">
        <w:rPr>
          <w:rFonts w:ascii="Times New Roman" w:hAnsi="Times New Roman" w:cs="Times New Roman"/>
          <w:sz w:val="20"/>
          <w:szCs w:val="20"/>
        </w:rPr>
        <w:t xml:space="preserve"> et al.</w:t>
      </w:r>
      <w:r w:rsidRPr="00DA7AA4">
        <w:rPr>
          <w:rFonts w:ascii="Times New Roman" w:hAnsi="Times New Roman" w:cs="Times New Roman"/>
          <w:sz w:val="20"/>
          <w:szCs w:val="20"/>
        </w:rPr>
        <w:t xml:space="preserve"> 2012). More recently, </w:t>
      </w:r>
      <w:r w:rsidRPr="00DA7AA4">
        <w:rPr>
          <w:rFonts w:ascii="Times New Roman" w:hAnsi="Times New Roman" w:cs="Times New Roman"/>
          <w:sz w:val="20"/>
          <w:szCs w:val="20"/>
        </w:rPr>
        <w:lastRenderedPageBreak/>
        <w:t>Nimako et al. (2014) demonstrate that, in Ghana, MNP can significantly reduce switching cost, and that MNP adoption is able to influence switching intentions through consumer curiosity, attitude towards switching and perceived switching cost.</w:t>
      </w:r>
      <w:r w:rsidR="004E0F5F" w:rsidRPr="00DA7AA4">
        <w:rPr>
          <w:rFonts w:ascii="Times New Roman" w:hAnsi="Times New Roman" w:cs="Times New Roman"/>
          <w:sz w:val="20"/>
          <w:szCs w:val="20"/>
        </w:rPr>
        <w:t xml:space="preserve"> However, </w:t>
      </w:r>
      <w:r w:rsidRPr="00DA7AA4">
        <w:rPr>
          <w:rFonts w:ascii="Times New Roman" w:hAnsi="Times New Roman" w:cs="Times New Roman"/>
          <w:sz w:val="20"/>
          <w:szCs w:val="20"/>
        </w:rPr>
        <w:t xml:space="preserve">Nimako et al. (2014) </w:t>
      </w:r>
      <w:r w:rsidR="004E0F5F" w:rsidRPr="00DA7AA4">
        <w:rPr>
          <w:rFonts w:ascii="Times New Roman" w:hAnsi="Times New Roman" w:cs="Times New Roman"/>
          <w:sz w:val="20"/>
          <w:szCs w:val="20"/>
        </w:rPr>
        <w:t xml:space="preserve">did not examine the influence of demographic </w:t>
      </w:r>
      <w:r w:rsidR="000934FF">
        <w:rPr>
          <w:rFonts w:ascii="Times New Roman" w:hAnsi="Times New Roman" w:cs="Times New Roman"/>
          <w:sz w:val="20"/>
          <w:szCs w:val="20"/>
        </w:rPr>
        <w:t xml:space="preserve">variables on consumers’ </w:t>
      </w:r>
      <w:proofErr w:type="spellStart"/>
      <w:r w:rsidR="000934FF">
        <w:rPr>
          <w:rFonts w:ascii="Times New Roman" w:hAnsi="Times New Roman" w:cs="Times New Roman"/>
          <w:sz w:val="20"/>
          <w:szCs w:val="20"/>
        </w:rPr>
        <w:t>behaviour</w:t>
      </w:r>
      <w:proofErr w:type="spellEnd"/>
      <w:r w:rsidR="000934FF">
        <w:rPr>
          <w:rFonts w:ascii="Times New Roman" w:hAnsi="Times New Roman" w:cs="Times New Roman"/>
          <w:sz w:val="20"/>
          <w:szCs w:val="20"/>
        </w:rPr>
        <w:t xml:space="preserve"> dimensions towards MNP adoption.</w:t>
      </w:r>
    </w:p>
    <w:p w:rsidR="000934FF" w:rsidRDefault="000934FF" w:rsidP="00DA7AA4">
      <w:pPr>
        <w:pStyle w:val="NoSpacing"/>
        <w:spacing w:line="276" w:lineRule="auto"/>
        <w:jc w:val="both"/>
        <w:rPr>
          <w:rFonts w:ascii="Times New Roman" w:hAnsi="Times New Roman" w:cs="Times New Roman"/>
          <w:i/>
          <w:sz w:val="20"/>
          <w:szCs w:val="20"/>
        </w:rPr>
      </w:pPr>
    </w:p>
    <w:p w:rsidR="00F91A39" w:rsidRPr="001D01CA" w:rsidRDefault="00F91A39" w:rsidP="00DA7AA4">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Demographic influence and MNP adoption</w:t>
      </w:r>
    </w:p>
    <w:p w:rsidR="00F651C2" w:rsidRPr="00DA7AA4" w:rsidRDefault="00CC2359" w:rsidP="00DA7AA4">
      <w:pPr>
        <w:pStyle w:val="NoSpacing"/>
        <w:spacing w:line="276" w:lineRule="auto"/>
        <w:jc w:val="both"/>
        <w:rPr>
          <w:rFonts w:ascii="Times New Roman" w:hAnsi="Times New Roman" w:cs="Times New Roman"/>
          <w:sz w:val="20"/>
          <w:highlight w:val="cyan"/>
        </w:rPr>
      </w:pPr>
      <w:r w:rsidRPr="00DA7AA4">
        <w:rPr>
          <w:rFonts w:ascii="Times New Roman" w:hAnsi="Times New Roman" w:cs="Times New Roman"/>
          <w:sz w:val="20"/>
          <w:szCs w:val="20"/>
        </w:rPr>
        <w:t xml:space="preserve">There is relatively very little empirical research on demographic influence on MNP adoption in general. </w:t>
      </w:r>
      <w:r w:rsidR="0019730C" w:rsidRPr="009965EC">
        <w:rPr>
          <w:rFonts w:ascii="Times New Roman" w:hAnsi="Times New Roman" w:cs="Times New Roman"/>
          <w:sz w:val="20"/>
          <w:szCs w:val="20"/>
        </w:rPr>
        <w:t>Mittal and Kamakura (2001) found</w:t>
      </w:r>
      <w:r w:rsidR="003153ED" w:rsidRPr="009965EC">
        <w:rPr>
          <w:rFonts w:ascii="Times New Roman" w:hAnsi="Times New Roman" w:cs="Times New Roman"/>
          <w:sz w:val="20"/>
          <w:szCs w:val="20"/>
        </w:rPr>
        <w:t xml:space="preserve"> that </w:t>
      </w:r>
      <w:r w:rsidR="004B3FAF" w:rsidRPr="009965EC">
        <w:rPr>
          <w:rFonts w:ascii="Times New Roman" w:hAnsi="Times New Roman" w:cs="Times New Roman"/>
          <w:sz w:val="20"/>
          <w:szCs w:val="20"/>
        </w:rPr>
        <w:t>h</w:t>
      </w:r>
      <w:r w:rsidR="003153ED" w:rsidRPr="009965EC">
        <w:rPr>
          <w:rFonts w:ascii="Times New Roman" w:hAnsi="Times New Roman" w:cs="Times New Roman"/>
          <w:sz w:val="20"/>
          <w:szCs w:val="20"/>
        </w:rPr>
        <w:t>igher disp</w:t>
      </w:r>
      <w:r w:rsidR="00E57CEE" w:rsidRPr="009965EC">
        <w:rPr>
          <w:rFonts w:ascii="Times New Roman" w:hAnsi="Times New Roman" w:cs="Times New Roman"/>
          <w:sz w:val="20"/>
          <w:szCs w:val="20"/>
        </w:rPr>
        <w:t xml:space="preserve">osable amount available to the </w:t>
      </w:r>
      <w:r w:rsidR="003153ED" w:rsidRPr="009965EC">
        <w:rPr>
          <w:rFonts w:ascii="Times New Roman" w:hAnsi="Times New Roman" w:cs="Times New Roman"/>
          <w:sz w:val="20"/>
          <w:szCs w:val="20"/>
        </w:rPr>
        <w:t xml:space="preserve">consumer lead to negative incentive to switch. </w:t>
      </w:r>
      <w:r w:rsidR="0019730C" w:rsidRPr="009965EC">
        <w:rPr>
          <w:rFonts w:ascii="Times New Roman" w:hAnsi="Times New Roman" w:cs="Times New Roman"/>
          <w:sz w:val="20"/>
          <w:szCs w:val="20"/>
        </w:rPr>
        <w:t xml:space="preserve">Homburg and </w:t>
      </w:r>
      <w:proofErr w:type="spellStart"/>
      <w:r w:rsidR="0019730C" w:rsidRPr="009965EC">
        <w:rPr>
          <w:rFonts w:ascii="Times New Roman" w:hAnsi="Times New Roman" w:cs="Times New Roman"/>
          <w:sz w:val="20"/>
          <w:szCs w:val="20"/>
        </w:rPr>
        <w:t>Giering</w:t>
      </w:r>
      <w:proofErr w:type="spellEnd"/>
      <w:r w:rsidR="0019730C" w:rsidRPr="009965EC">
        <w:rPr>
          <w:rFonts w:ascii="Times New Roman" w:hAnsi="Times New Roman" w:cs="Times New Roman"/>
          <w:sz w:val="20"/>
          <w:szCs w:val="20"/>
        </w:rPr>
        <w:t xml:space="preserve"> (2001) found</w:t>
      </w:r>
      <w:r w:rsidR="003153ED" w:rsidRPr="009965EC">
        <w:rPr>
          <w:rFonts w:ascii="Times New Roman" w:hAnsi="Times New Roman" w:cs="Times New Roman"/>
          <w:sz w:val="20"/>
          <w:szCs w:val="20"/>
        </w:rPr>
        <w:t xml:space="preserve"> that age has a negative relationship with porting rates. </w:t>
      </w:r>
      <w:proofErr w:type="spellStart"/>
      <w:r w:rsidR="006A364F" w:rsidRPr="009965EC">
        <w:rPr>
          <w:rFonts w:ascii="Times New Roman" w:hAnsi="Times New Roman" w:cs="Times New Roman"/>
          <w:sz w:val="20"/>
          <w:szCs w:val="20"/>
        </w:rPr>
        <w:t>Ooko</w:t>
      </w:r>
      <w:proofErr w:type="spellEnd"/>
      <w:r w:rsidR="006A364F" w:rsidRPr="009965EC">
        <w:rPr>
          <w:rFonts w:ascii="Times New Roman" w:hAnsi="Times New Roman" w:cs="Times New Roman"/>
          <w:sz w:val="20"/>
          <w:szCs w:val="20"/>
        </w:rPr>
        <w:t xml:space="preserve"> et al. (2014) found that some demographic variables such as the period of usage, age, average amount spent on airtime have a significant, but minimal influence on the intention to switch through MNP</w:t>
      </w:r>
      <w:r w:rsidR="00A26C74" w:rsidRPr="009965EC">
        <w:rPr>
          <w:rFonts w:ascii="Times New Roman" w:hAnsi="Times New Roman" w:cs="Times New Roman"/>
          <w:sz w:val="20"/>
          <w:szCs w:val="20"/>
        </w:rPr>
        <w:t xml:space="preserve"> in Kenya telecom industry</w:t>
      </w:r>
      <w:r w:rsidR="006A364F" w:rsidRPr="009965EC">
        <w:rPr>
          <w:rFonts w:ascii="Times New Roman" w:hAnsi="Times New Roman" w:cs="Times New Roman"/>
          <w:sz w:val="20"/>
          <w:szCs w:val="20"/>
        </w:rPr>
        <w:t>.</w:t>
      </w:r>
      <w:r w:rsidR="004B3FAF" w:rsidRPr="009965EC">
        <w:rPr>
          <w:rFonts w:ascii="Times New Roman" w:hAnsi="Times New Roman" w:cs="Times New Roman"/>
          <w:sz w:val="20"/>
          <w:szCs w:val="20"/>
        </w:rPr>
        <w:t xml:space="preserve"> </w:t>
      </w:r>
      <w:proofErr w:type="spellStart"/>
      <w:r w:rsidR="004B3FAF" w:rsidRPr="009965EC">
        <w:rPr>
          <w:rFonts w:ascii="Times New Roman" w:hAnsi="Times New Roman" w:cs="Times New Roman"/>
          <w:sz w:val="20"/>
          <w:szCs w:val="20"/>
        </w:rPr>
        <w:t>Abdramon</w:t>
      </w:r>
      <w:proofErr w:type="spellEnd"/>
      <w:r w:rsidR="004B3FAF" w:rsidRPr="009965EC">
        <w:rPr>
          <w:rFonts w:ascii="Times New Roman" w:hAnsi="Times New Roman" w:cs="Times New Roman"/>
          <w:sz w:val="20"/>
          <w:szCs w:val="20"/>
        </w:rPr>
        <w:t xml:space="preserve"> and</w:t>
      </w:r>
      <w:r w:rsidR="004B3FAF">
        <w:rPr>
          <w:rFonts w:ascii="Times New Roman" w:hAnsi="Times New Roman" w:cs="Times New Roman"/>
          <w:sz w:val="24"/>
        </w:rPr>
        <w:t xml:space="preserve"> </w:t>
      </w:r>
      <w:proofErr w:type="spellStart"/>
      <w:r w:rsidR="004B3FAF" w:rsidRPr="00DA7AA4">
        <w:rPr>
          <w:rFonts w:ascii="Times New Roman" w:hAnsi="Times New Roman" w:cs="Times New Roman"/>
          <w:sz w:val="20"/>
        </w:rPr>
        <w:t>Mejabi</w:t>
      </w:r>
      <w:proofErr w:type="spellEnd"/>
      <w:r w:rsidR="004B3FAF" w:rsidRPr="00DA7AA4">
        <w:rPr>
          <w:rFonts w:ascii="Times New Roman" w:hAnsi="Times New Roman" w:cs="Times New Roman"/>
          <w:sz w:val="20"/>
        </w:rPr>
        <w:t xml:space="preserve"> (2012) found that, in Nigeria, some demographic variables such as age had the strongest influence on subscriber attitudes towards MNP. While they found gender and educational level had significantly no influence on subscriber attitude towards MNP implementation, income and marital status had very little influence on consumer attitude towards MNP implementation.</w:t>
      </w:r>
      <w:r w:rsidR="00E87B0C" w:rsidRPr="00DA7AA4">
        <w:rPr>
          <w:rFonts w:ascii="Times New Roman" w:hAnsi="Times New Roman" w:cs="Times New Roman"/>
          <w:sz w:val="20"/>
        </w:rPr>
        <w:t xml:space="preserve"> These limited findi</w:t>
      </w:r>
      <w:r w:rsidR="00376423" w:rsidRPr="00DA7AA4">
        <w:rPr>
          <w:rFonts w:ascii="Times New Roman" w:hAnsi="Times New Roman" w:cs="Times New Roman"/>
          <w:sz w:val="20"/>
        </w:rPr>
        <w:t>ngs</w:t>
      </w:r>
      <w:r w:rsidR="00E87B0C" w:rsidRPr="00DA7AA4">
        <w:rPr>
          <w:rFonts w:ascii="Times New Roman" w:hAnsi="Times New Roman" w:cs="Times New Roman"/>
          <w:sz w:val="20"/>
        </w:rPr>
        <w:t xml:space="preserve"> on subscriber demography-MNP relationship </w:t>
      </w:r>
      <w:r w:rsidR="00376423" w:rsidRPr="00DA7AA4">
        <w:rPr>
          <w:rFonts w:ascii="Times New Roman" w:hAnsi="Times New Roman" w:cs="Times New Roman"/>
          <w:sz w:val="20"/>
        </w:rPr>
        <w:t>suggest that some unique consumer characteristics may influence MNP depending on</w:t>
      </w:r>
      <w:r w:rsidR="00E87B0C" w:rsidRPr="00DA7AA4">
        <w:rPr>
          <w:rFonts w:ascii="Times New Roman" w:hAnsi="Times New Roman" w:cs="Times New Roman"/>
          <w:sz w:val="20"/>
        </w:rPr>
        <w:t xml:space="preserve"> each research context.</w:t>
      </w:r>
    </w:p>
    <w:p w:rsidR="00F651C2" w:rsidRPr="00DA7AA4" w:rsidRDefault="00F651C2" w:rsidP="00DA7AA4">
      <w:pPr>
        <w:pStyle w:val="NoSpacing"/>
        <w:spacing w:line="276" w:lineRule="auto"/>
        <w:jc w:val="both"/>
        <w:rPr>
          <w:rFonts w:ascii="Times New Roman" w:hAnsi="Times New Roman" w:cs="Times New Roman"/>
          <w:sz w:val="20"/>
        </w:rPr>
      </w:pPr>
    </w:p>
    <w:p w:rsidR="0066666C" w:rsidRDefault="00312463" w:rsidP="00DA7AA4">
      <w:pPr>
        <w:pStyle w:val="NoSpacing"/>
        <w:spacing w:line="276" w:lineRule="auto"/>
        <w:jc w:val="both"/>
        <w:rPr>
          <w:rFonts w:ascii="Times New Roman" w:hAnsi="Times New Roman" w:cs="Times New Roman"/>
          <w:sz w:val="20"/>
        </w:rPr>
      </w:pPr>
      <w:r w:rsidRPr="00DA7AA4">
        <w:rPr>
          <w:rFonts w:ascii="Times New Roman" w:hAnsi="Times New Roman" w:cs="Times New Roman"/>
          <w:sz w:val="20"/>
        </w:rPr>
        <w:t>From the literature reviewed so far, it is evidenced that m</w:t>
      </w:r>
      <w:r w:rsidR="00EE6BD0" w:rsidRPr="00DA7AA4">
        <w:rPr>
          <w:rFonts w:ascii="Times New Roman" w:hAnsi="Times New Roman" w:cs="Times New Roman"/>
          <w:sz w:val="20"/>
        </w:rPr>
        <w:t xml:space="preserve">ore research is needed to understand consumer </w:t>
      </w:r>
      <w:proofErr w:type="spellStart"/>
      <w:r w:rsidR="00EE6BD0" w:rsidRPr="00DA7AA4">
        <w:rPr>
          <w:rFonts w:ascii="Times New Roman" w:hAnsi="Times New Roman" w:cs="Times New Roman"/>
          <w:sz w:val="20"/>
        </w:rPr>
        <w:t>behaviour</w:t>
      </w:r>
      <w:proofErr w:type="spellEnd"/>
      <w:r w:rsidR="00EE6BD0" w:rsidRPr="00DA7AA4">
        <w:rPr>
          <w:rFonts w:ascii="Times New Roman" w:hAnsi="Times New Roman" w:cs="Times New Roman"/>
          <w:sz w:val="20"/>
        </w:rPr>
        <w:t xml:space="preserve"> towards MNP adoption in developing country </w:t>
      </w:r>
      <w:r w:rsidRPr="00DA7AA4">
        <w:rPr>
          <w:rFonts w:ascii="Times New Roman" w:hAnsi="Times New Roman" w:cs="Times New Roman"/>
          <w:sz w:val="20"/>
        </w:rPr>
        <w:t xml:space="preserve">telecom </w:t>
      </w:r>
      <w:r w:rsidR="00EE6BD0" w:rsidRPr="00DA7AA4">
        <w:rPr>
          <w:rFonts w:ascii="Times New Roman" w:hAnsi="Times New Roman" w:cs="Times New Roman"/>
          <w:sz w:val="20"/>
        </w:rPr>
        <w:t xml:space="preserve">context. The present study, therefore, explores consumer </w:t>
      </w:r>
      <w:proofErr w:type="spellStart"/>
      <w:r w:rsidR="00EE6BD0" w:rsidRPr="00DA7AA4">
        <w:rPr>
          <w:rFonts w:ascii="Times New Roman" w:hAnsi="Times New Roman" w:cs="Times New Roman"/>
          <w:sz w:val="20"/>
        </w:rPr>
        <w:t>behaviour</w:t>
      </w:r>
      <w:proofErr w:type="spellEnd"/>
      <w:r w:rsidR="00EE6BD0" w:rsidRPr="00DA7AA4">
        <w:rPr>
          <w:rFonts w:ascii="Times New Roman" w:hAnsi="Times New Roman" w:cs="Times New Roman"/>
          <w:sz w:val="20"/>
        </w:rPr>
        <w:t xml:space="preserve"> towards MNP adoption in GMTI.</w:t>
      </w:r>
      <w:r w:rsidR="00F91A39" w:rsidRPr="00DA7AA4">
        <w:rPr>
          <w:rFonts w:ascii="Times New Roman" w:hAnsi="Times New Roman" w:cs="Times New Roman"/>
          <w:sz w:val="20"/>
        </w:rPr>
        <w:t xml:space="preserve"> </w:t>
      </w:r>
      <w:r w:rsidR="002340AC" w:rsidRPr="00DA7AA4">
        <w:rPr>
          <w:rFonts w:ascii="Times New Roman" w:hAnsi="Times New Roman" w:cs="Times New Roman"/>
          <w:sz w:val="20"/>
        </w:rPr>
        <w:t xml:space="preserve">The present study </w:t>
      </w:r>
      <w:r w:rsidR="005F76D8" w:rsidRPr="00DA7AA4">
        <w:rPr>
          <w:rFonts w:ascii="Times New Roman" w:hAnsi="Times New Roman" w:cs="Times New Roman"/>
          <w:sz w:val="20"/>
        </w:rPr>
        <w:t xml:space="preserve">extends existing </w:t>
      </w:r>
      <w:r w:rsidR="00E37E4D" w:rsidRPr="00DA7AA4">
        <w:rPr>
          <w:rFonts w:ascii="Times New Roman" w:hAnsi="Times New Roman" w:cs="Times New Roman"/>
          <w:sz w:val="20"/>
        </w:rPr>
        <w:t>and</w:t>
      </w:r>
      <w:r w:rsidR="002340AC" w:rsidRPr="00DA7AA4">
        <w:rPr>
          <w:rFonts w:ascii="Times New Roman" w:hAnsi="Times New Roman" w:cs="Times New Roman"/>
          <w:sz w:val="20"/>
        </w:rPr>
        <w:t xml:space="preserve"> the influence of </w:t>
      </w:r>
      <w:r w:rsidR="005F76D8" w:rsidRPr="00DA7AA4">
        <w:rPr>
          <w:rFonts w:ascii="Times New Roman" w:hAnsi="Times New Roman" w:cs="Times New Roman"/>
          <w:sz w:val="20"/>
        </w:rPr>
        <w:t xml:space="preserve">demographic variables on different aspects of consumer </w:t>
      </w:r>
      <w:proofErr w:type="spellStart"/>
      <w:r w:rsidR="005F76D8" w:rsidRPr="00DA7AA4">
        <w:rPr>
          <w:rFonts w:ascii="Times New Roman" w:hAnsi="Times New Roman" w:cs="Times New Roman"/>
          <w:sz w:val="20"/>
        </w:rPr>
        <w:t>behaviour</w:t>
      </w:r>
      <w:proofErr w:type="spellEnd"/>
      <w:r w:rsidR="005F76D8" w:rsidRPr="00DA7AA4">
        <w:rPr>
          <w:rFonts w:ascii="Times New Roman" w:hAnsi="Times New Roman" w:cs="Times New Roman"/>
          <w:sz w:val="20"/>
        </w:rPr>
        <w:t xml:space="preserve"> towards MNP</w:t>
      </w:r>
      <w:r w:rsidR="00975EE6" w:rsidRPr="00DA7AA4">
        <w:rPr>
          <w:rFonts w:ascii="Times New Roman" w:hAnsi="Times New Roman" w:cs="Times New Roman"/>
          <w:sz w:val="20"/>
        </w:rPr>
        <w:t xml:space="preserve"> adoption</w:t>
      </w:r>
      <w:r w:rsidR="005F76D8" w:rsidRPr="00DA7AA4">
        <w:rPr>
          <w:rFonts w:ascii="Times New Roman" w:hAnsi="Times New Roman" w:cs="Times New Roman"/>
          <w:sz w:val="20"/>
        </w:rPr>
        <w:t>.</w:t>
      </w:r>
    </w:p>
    <w:p w:rsidR="0066666C" w:rsidRPr="00DA7AA4" w:rsidRDefault="0066666C" w:rsidP="00DA7AA4">
      <w:pPr>
        <w:pStyle w:val="NoSpacing"/>
        <w:spacing w:line="276" w:lineRule="auto"/>
        <w:jc w:val="both"/>
        <w:rPr>
          <w:rFonts w:ascii="Times New Roman" w:hAnsi="Times New Roman" w:cs="Times New Roman"/>
          <w:sz w:val="20"/>
        </w:rPr>
      </w:pPr>
    </w:p>
    <w:p w:rsidR="002340AC" w:rsidRPr="001D01CA" w:rsidRDefault="00E104FD" w:rsidP="00DA7AA4">
      <w:pPr>
        <w:pStyle w:val="NoSpacing"/>
        <w:spacing w:line="276" w:lineRule="auto"/>
        <w:jc w:val="both"/>
        <w:rPr>
          <w:rFonts w:ascii="Times New Roman"/>
          <w:i/>
          <w:sz w:val="24"/>
          <w:szCs w:val="24"/>
        </w:rPr>
      </w:pPr>
      <w:r w:rsidRPr="001D01CA">
        <w:rPr>
          <w:rFonts w:ascii="Times New Roman"/>
          <w:i/>
          <w:sz w:val="24"/>
          <w:szCs w:val="24"/>
        </w:rPr>
        <w:t>C</w:t>
      </w:r>
      <w:r w:rsidR="002340AC" w:rsidRPr="001D01CA">
        <w:rPr>
          <w:rFonts w:ascii="Times New Roman"/>
          <w:i/>
          <w:sz w:val="24"/>
          <w:szCs w:val="24"/>
        </w:rPr>
        <w:t xml:space="preserve">onceptual framework </w:t>
      </w:r>
    </w:p>
    <w:p w:rsidR="007341B9" w:rsidRDefault="00535CB3" w:rsidP="00DA7AA4">
      <w:pPr>
        <w:pStyle w:val="NoSpacing"/>
        <w:spacing w:line="276" w:lineRule="auto"/>
        <w:jc w:val="both"/>
        <w:rPr>
          <w:rFonts w:ascii="Times New Roman"/>
          <w:sz w:val="20"/>
          <w:szCs w:val="24"/>
        </w:rPr>
        <w:sectPr w:rsidR="007341B9" w:rsidSect="000B7014">
          <w:type w:val="continuous"/>
          <w:pgSz w:w="12240" w:h="15840"/>
          <w:pgMar w:top="1440" w:right="1440" w:bottom="1440" w:left="1440" w:header="720" w:footer="720" w:gutter="0"/>
          <w:cols w:space="720"/>
          <w:docGrid w:linePitch="326"/>
        </w:sectPr>
      </w:pPr>
      <w:r w:rsidRPr="00DA7AA4">
        <w:rPr>
          <w:rFonts w:ascii="Times New Roman"/>
          <w:sz w:val="20"/>
          <w:szCs w:val="24"/>
        </w:rPr>
        <w:t xml:space="preserve">The conceptual framework is depicted in Figure 1. </w:t>
      </w:r>
      <w:r w:rsidR="00E104FD" w:rsidRPr="00DA7AA4">
        <w:rPr>
          <w:rFonts w:ascii="Times New Roman"/>
          <w:sz w:val="20"/>
          <w:szCs w:val="24"/>
        </w:rPr>
        <w:t xml:space="preserve">Past studies have made significant </w:t>
      </w:r>
      <w:r w:rsidR="00D11DB4" w:rsidRPr="00DA7AA4">
        <w:rPr>
          <w:rFonts w:ascii="Times New Roman"/>
          <w:sz w:val="20"/>
          <w:szCs w:val="24"/>
        </w:rPr>
        <w:t xml:space="preserve">efforts to provide theoretical framework to explain the factors that influence consumer </w:t>
      </w:r>
      <w:proofErr w:type="spellStart"/>
      <w:r w:rsidR="00D11DB4" w:rsidRPr="00DA7AA4">
        <w:rPr>
          <w:rFonts w:ascii="Times New Roman"/>
          <w:sz w:val="20"/>
          <w:szCs w:val="24"/>
        </w:rPr>
        <w:t>behaviour</w:t>
      </w:r>
      <w:proofErr w:type="spellEnd"/>
      <w:r w:rsidR="00D11DB4" w:rsidRPr="00DA7AA4">
        <w:rPr>
          <w:rFonts w:ascii="Times New Roman"/>
          <w:sz w:val="20"/>
          <w:szCs w:val="24"/>
        </w:rPr>
        <w:t xml:space="preserve"> in general and their adoption of innovation in different research contexts.</w:t>
      </w:r>
      <w:r w:rsidR="009A16BD" w:rsidRPr="00DA7AA4">
        <w:rPr>
          <w:rFonts w:ascii="Times New Roman"/>
          <w:sz w:val="20"/>
          <w:szCs w:val="24"/>
        </w:rPr>
        <w:t xml:space="preserve"> </w:t>
      </w:r>
      <w:r w:rsidR="00E104FD" w:rsidRPr="00DA7AA4">
        <w:rPr>
          <w:rFonts w:ascii="Times New Roman"/>
          <w:sz w:val="20"/>
          <w:szCs w:val="24"/>
        </w:rPr>
        <w:t xml:space="preserve">Notably among the theories that help explain consumer </w:t>
      </w:r>
      <w:proofErr w:type="spellStart"/>
      <w:r w:rsidR="00E104FD" w:rsidRPr="00DA7AA4">
        <w:rPr>
          <w:rFonts w:ascii="Times New Roman"/>
          <w:sz w:val="20"/>
          <w:szCs w:val="24"/>
        </w:rPr>
        <w:t>behaviour</w:t>
      </w:r>
      <w:proofErr w:type="spellEnd"/>
      <w:r w:rsidR="00E104FD" w:rsidRPr="00DA7AA4">
        <w:rPr>
          <w:rFonts w:ascii="Times New Roman"/>
          <w:sz w:val="20"/>
          <w:szCs w:val="24"/>
        </w:rPr>
        <w:t xml:space="preserve"> and innovation adoption are: Theory of Planned </w:t>
      </w:r>
      <w:proofErr w:type="spellStart"/>
      <w:r w:rsidR="00E104FD" w:rsidRPr="00DA7AA4">
        <w:rPr>
          <w:rFonts w:ascii="Times New Roman"/>
          <w:sz w:val="20"/>
          <w:szCs w:val="24"/>
        </w:rPr>
        <w:t>Behaviour</w:t>
      </w:r>
      <w:proofErr w:type="spellEnd"/>
      <w:r w:rsidR="00E104FD" w:rsidRPr="00DA7AA4">
        <w:rPr>
          <w:rFonts w:ascii="Times New Roman"/>
          <w:sz w:val="20"/>
          <w:szCs w:val="24"/>
        </w:rPr>
        <w:t xml:space="preserve"> (TPB)</w:t>
      </w:r>
      <w:r w:rsidR="00C15E67" w:rsidRPr="00DA7AA4">
        <w:rPr>
          <w:rFonts w:ascii="Times New Roman"/>
          <w:sz w:val="20"/>
          <w:szCs w:val="24"/>
        </w:rPr>
        <w:t xml:space="preserve"> by </w:t>
      </w:r>
      <w:proofErr w:type="spellStart"/>
      <w:r w:rsidR="00C15E67" w:rsidRPr="00DA7AA4">
        <w:rPr>
          <w:rFonts w:ascii="Times New Roman"/>
          <w:sz w:val="20"/>
          <w:szCs w:val="24"/>
        </w:rPr>
        <w:t>Ajzen</w:t>
      </w:r>
      <w:proofErr w:type="spellEnd"/>
      <w:r w:rsidR="00C15E67" w:rsidRPr="00DA7AA4">
        <w:rPr>
          <w:rFonts w:ascii="Times New Roman"/>
          <w:sz w:val="20"/>
          <w:szCs w:val="24"/>
        </w:rPr>
        <w:t xml:space="preserve"> 1991</w:t>
      </w:r>
      <w:r w:rsidR="00E104FD" w:rsidRPr="00DA7AA4">
        <w:rPr>
          <w:rFonts w:ascii="Times New Roman"/>
          <w:sz w:val="20"/>
          <w:szCs w:val="24"/>
        </w:rPr>
        <w:t xml:space="preserve">, Technology Adoption Theory (TAM) </w:t>
      </w:r>
      <w:r w:rsidR="00CE23A3" w:rsidRPr="00DA7AA4">
        <w:rPr>
          <w:rFonts w:ascii="Times New Roman"/>
          <w:sz w:val="20"/>
          <w:szCs w:val="24"/>
        </w:rPr>
        <w:t xml:space="preserve">by Davis, </w:t>
      </w:r>
      <w:proofErr w:type="spellStart"/>
      <w:r w:rsidR="00CE23A3" w:rsidRPr="00DA7AA4">
        <w:rPr>
          <w:rFonts w:ascii="Times New Roman"/>
          <w:sz w:val="20"/>
          <w:szCs w:val="24"/>
        </w:rPr>
        <w:t>Bagozzi</w:t>
      </w:r>
      <w:proofErr w:type="spellEnd"/>
      <w:r w:rsidR="00CE23A3" w:rsidRPr="00DA7AA4">
        <w:rPr>
          <w:rFonts w:ascii="Times New Roman"/>
          <w:sz w:val="20"/>
          <w:szCs w:val="24"/>
        </w:rPr>
        <w:t xml:space="preserve">, and </w:t>
      </w:r>
      <w:proofErr w:type="spellStart"/>
      <w:r w:rsidR="00CE23A3" w:rsidRPr="00DA7AA4">
        <w:rPr>
          <w:rFonts w:ascii="Times New Roman"/>
          <w:sz w:val="20"/>
          <w:szCs w:val="24"/>
        </w:rPr>
        <w:t>Warshaw</w:t>
      </w:r>
      <w:proofErr w:type="spellEnd"/>
      <w:r w:rsidR="00CE23A3" w:rsidRPr="00DA7AA4">
        <w:rPr>
          <w:rFonts w:ascii="Times New Roman"/>
          <w:sz w:val="20"/>
          <w:szCs w:val="24"/>
        </w:rPr>
        <w:t xml:space="preserve"> (1989)</w:t>
      </w:r>
      <w:r w:rsidR="00E104FD" w:rsidRPr="00DA7AA4">
        <w:rPr>
          <w:rFonts w:ascii="Times New Roman"/>
          <w:sz w:val="20"/>
          <w:szCs w:val="24"/>
        </w:rPr>
        <w:t xml:space="preserve">, Theory of Innovation Diffusion (TID) by </w:t>
      </w:r>
      <w:r w:rsidR="00C15E67" w:rsidRPr="00DA7AA4">
        <w:rPr>
          <w:rFonts w:ascii="Times New Roman"/>
          <w:sz w:val="20"/>
          <w:szCs w:val="24"/>
        </w:rPr>
        <w:t>Rogers (1962; 2003),</w:t>
      </w:r>
      <w:r w:rsidR="00C353A4" w:rsidRPr="00DA7AA4">
        <w:rPr>
          <w:rFonts w:ascii="Times New Roman"/>
          <w:sz w:val="20"/>
          <w:szCs w:val="24"/>
        </w:rPr>
        <w:t xml:space="preserve"> The Unified Theory of Acceptance and Use of T</w:t>
      </w:r>
      <w:r w:rsidR="00991FA5">
        <w:rPr>
          <w:rFonts w:ascii="Times New Roman"/>
          <w:sz w:val="20"/>
          <w:szCs w:val="24"/>
        </w:rPr>
        <w:t xml:space="preserve">echnology (UTAUT) by </w:t>
      </w:r>
      <w:proofErr w:type="spellStart"/>
      <w:r w:rsidR="00991FA5">
        <w:rPr>
          <w:rFonts w:ascii="Times New Roman"/>
          <w:sz w:val="20"/>
          <w:szCs w:val="24"/>
        </w:rPr>
        <w:t>Venkatesh</w:t>
      </w:r>
      <w:proofErr w:type="spellEnd"/>
      <w:r w:rsidR="00991FA5">
        <w:rPr>
          <w:rFonts w:ascii="Times New Roman"/>
          <w:sz w:val="20"/>
          <w:szCs w:val="24"/>
        </w:rPr>
        <w:t xml:space="preserve"> et al.</w:t>
      </w:r>
      <w:r w:rsidR="00C353A4" w:rsidRPr="00DA7AA4">
        <w:rPr>
          <w:rFonts w:ascii="Times New Roman"/>
          <w:sz w:val="20"/>
          <w:szCs w:val="24"/>
        </w:rPr>
        <w:t xml:space="preserve"> (2003); </w:t>
      </w:r>
      <w:r w:rsidR="009D398F" w:rsidRPr="00DA7AA4">
        <w:rPr>
          <w:rFonts w:ascii="Times New Roman"/>
          <w:sz w:val="20"/>
          <w:szCs w:val="24"/>
        </w:rPr>
        <w:t>and The Unified Theory of Acceptance and Use of Technology2 (UTAUT2)</w:t>
      </w:r>
      <w:r w:rsidR="000B364E" w:rsidRPr="00DA7AA4">
        <w:rPr>
          <w:rFonts w:ascii="Times New Roman"/>
          <w:sz w:val="20"/>
          <w:szCs w:val="24"/>
        </w:rPr>
        <w:t xml:space="preserve"> by</w:t>
      </w:r>
      <w:r w:rsidR="00991FA5">
        <w:rPr>
          <w:rFonts w:ascii="Times New Roman"/>
          <w:sz w:val="20"/>
          <w:szCs w:val="24"/>
        </w:rPr>
        <w:t xml:space="preserve"> </w:t>
      </w:r>
      <w:proofErr w:type="spellStart"/>
      <w:r w:rsidR="00991FA5">
        <w:rPr>
          <w:rFonts w:ascii="Times New Roman"/>
          <w:sz w:val="20"/>
          <w:szCs w:val="24"/>
        </w:rPr>
        <w:t>Venkatesh</w:t>
      </w:r>
      <w:proofErr w:type="spellEnd"/>
      <w:r w:rsidR="00991FA5">
        <w:rPr>
          <w:rFonts w:ascii="Times New Roman"/>
          <w:sz w:val="20"/>
          <w:szCs w:val="24"/>
        </w:rPr>
        <w:t>, Thong, James and Xu</w:t>
      </w:r>
      <w:r w:rsidR="000B364E" w:rsidRPr="00DA7AA4">
        <w:rPr>
          <w:rFonts w:ascii="Times New Roman"/>
          <w:sz w:val="20"/>
          <w:szCs w:val="24"/>
        </w:rPr>
        <w:t xml:space="preserve"> (2012).</w:t>
      </w:r>
      <w:r w:rsidR="00C15E67" w:rsidRPr="00DA7AA4">
        <w:rPr>
          <w:rFonts w:ascii="Times New Roman"/>
          <w:sz w:val="20"/>
          <w:szCs w:val="24"/>
        </w:rPr>
        <w:t xml:space="preserve"> </w:t>
      </w:r>
    </w:p>
    <w:p w:rsidR="007341B9" w:rsidRDefault="007341B9" w:rsidP="007341B9">
      <w:pPr>
        <w:pStyle w:val="NoSpacing"/>
        <w:jc w:val="both"/>
        <w:rPr>
          <w:rFonts w:ascii="Times New Roman"/>
          <w:sz w:val="24"/>
          <w:szCs w:val="24"/>
        </w:rPr>
      </w:pPr>
      <w:r>
        <w:rPr>
          <w:rFonts w:ascii="Times New Roman"/>
          <w:noProof/>
          <w:sz w:val="24"/>
          <w:szCs w:val="24"/>
          <w:lang w:eastAsia="en-US"/>
        </w:rPr>
        <w:lastRenderedPageBreak/>
        <mc:AlternateContent>
          <mc:Choice Requires="wpg">
            <w:drawing>
              <wp:anchor distT="0" distB="0" distL="114300" distR="114300" simplePos="0" relativeHeight="251659264" behindDoc="0" locked="0" layoutInCell="1" allowOverlap="1" wp14:anchorId="77157EBF" wp14:editId="0EAC6598">
                <wp:simplePos x="0" y="0"/>
                <wp:positionH relativeFrom="column">
                  <wp:posOffset>1269242</wp:posOffset>
                </wp:positionH>
                <wp:positionV relativeFrom="paragraph">
                  <wp:posOffset>54591</wp:posOffset>
                </wp:positionV>
                <wp:extent cx="4272930" cy="3630305"/>
                <wp:effectExtent l="0" t="0" r="13335" b="27305"/>
                <wp:wrapNone/>
                <wp:docPr id="6" name="Group 6"/>
                <wp:cNvGraphicFramePr/>
                <a:graphic xmlns:a="http://schemas.openxmlformats.org/drawingml/2006/main">
                  <a:graphicData uri="http://schemas.microsoft.com/office/word/2010/wordprocessingGroup">
                    <wpg:wgp>
                      <wpg:cNvGrpSpPr/>
                      <wpg:grpSpPr>
                        <a:xfrm>
                          <a:off x="0" y="0"/>
                          <a:ext cx="4272930" cy="3630305"/>
                          <a:chOff x="0" y="0"/>
                          <a:chExt cx="4272930" cy="3771900"/>
                        </a:xfrm>
                      </wpg:grpSpPr>
                      <wpg:grpSp>
                        <wpg:cNvPr id="23" name="Group 23"/>
                        <wpg:cNvGrpSpPr/>
                        <wpg:grpSpPr>
                          <a:xfrm>
                            <a:off x="19050" y="0"/>
                            <a:ext cx="4253880" cy="3710307"/>
                            <a:chOff x="504390" y="127983"/>
                            <a:chExt cx="3676099" cy="3323567"/>
                          </a:xfrm>
                        </wpg:grpSpPr>
                        <wps:wsp>
                          <wps:cNvPr id="1" name="Oval 1"/>
                          <wps:cNvSpPr/>
                          <wps:spPr>
                            <a:xfrm>
                              <a:off x="2598550" y="562679"/>
                              <a:ext cx="1136073" cy="60960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Attitude toward MNP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1675887" y="127983"/>
                              <a:ext cx="1018310" cy="734291"/>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Porting time cost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504390" y="1663771"/>
                              <a:ext cx="1580637" cy="587291"/>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 xml:space="preserve">Consumer </w:t>
                                </w:r>
                                <w:proofErr w:type="spellStart"/>
                                <w:r w:rsidRPr="00DD4CCE">
                                  <w:rPr>
                                    <w:sz w:val="20"/>
                                    <w:szCs w:val="20"/>
                                  </w:rPr>
                                  <w:t>behaviour</w:t>
                                </w:r>
                                <w:proofErr w:type="spellEnd"/>
                                <w:r w:rsidRPr="00DD4CCE">
                                  <w:rPr>
                                    <w:sz w:val="20"/>
                                    <w:szCs w:val="20"/>
                                  </w:rPr>
                                  <w:t xml:space="preserve"> aspects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2872715" y="1180135"/>
                              <a:ext cx="1256282" cy="879764"/>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MNP-induced switching efficacy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2741013" y="2080039"/>
                              <a:ext cx="1439476" cy="663832"/>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Perceived 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2451041" y="2786532"/>
                              <a:ext cx="1189066" cy="665018"/>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Perceived usefulness of MNP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Arrow Connector 15"/>
                          <wps:cNvCnPr>
                            <a:endCxn id="14" idx="1"/>
                          </wps:cNvCnPr>
                          <wps:spPr>
                            <a:xfrm>
                              <a:off x="1824862" y="2226897"/>
                              <a:ext cx="800306" cy="6570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a:endCxn id="13" idx="2"/>
                          </wps:cNvCnPr>
                          <wps:spPr>
                            <a:xfrm>
                              <a:off x="1991743" y="2098915"/>
                              <a:ext cx="749068" cy="3130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Straight Arrow Connector 19"/>
                          <wps:cNvCnPr>
                            <a:stCxn id="10" idx="6"/>
                            <a:endCxn id="12" idx="2"/>
                          </wps:cNvCnPr>
                          <wps:spPr>
                            <a:xfrm flipV="1">
                              <a:off x="2084832" y="1620016"/>
                              <a:ext cx="787598" cy="337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 name="Straight Arrow Connector 20"/>
                          <wps:cNvCnPr>
                            <a:stCxn id="10" idx="7"/>
                          </wps:cNvCnPr>
                          <wps:spPr>
                            <a:xfrm flipV="1">
                              <a:off x="1853399" y="1006797"/>
                              <a:ext cx="840370" cy="7429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 name="Straight Arrow Connector 21"/>
                          <wps:cNvCnPr/>
                          <wps:spPr>
                            <a:xfrm flipV="1">
                              <a:off x="1632070" y="802025"/>
                              <a:ext cx="359668" cy="8702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4" name="Oval 4"/>
                        <wps:cNvSpPr/>
                        <wps:spPr>
                          <a:xfrm>
                            <a:off x="0" y="2981325"/>
                            <a:ext cx="2009775" cy="79057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1D01CA" w:rsidRPr="00DD4CCE" w:rsidRDefault="001D01CA" w:rsidP="007341B9">
                              <w:pPr>
                                <w:jc w:val="center"/>
                                <w:rPr>
                                  <w:sz w:val="20"/>
                                  <w:szCs w:val="20"/>
                                </w:rPr>
                              </w:pPr>
                              <w:r w:rsidRPr="00DD4CCE">
                                <w:rPr>
                                  <w:sz w:val="20"/>
                                  <w:szCs w:val="20"/>
                                </w:rPr>
                                <w:t>Demography:</w:t>
                              </w:r>
                            </w:p>
                            <w:p w:rsidR="001D01CA" w:rsidRPr="00DD4CCE" w:rsidRDefault="001D01CA" w:rsidP="007341B9">
                              <w:pPr>
                                <w:rPr>
                                  <w:sz w:val="20"/>
                                  <w:szCs w:val="20"/>
                                </w:rPr>
                              </w:pPr>
                              <w:r w:rsidRPr="00DD4CCE">
                                <w:rPr>
                                  <w:sz w:val="20"/>
                                  <w:szCs w:val="20"/>
                                </w:rPr>
                                <w:t>Gender, age, education, income, marital status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Arrow Connector 5"/>
                        <wps:cNvCnPr/>
                        <wps:spPr>
                          <a:xfrm flipH="1" flipV="1">
                            <a:off x="904875" y="2371725"/>
                            <a:ext cx="45719" cy="609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77157EBF" id="Group 6" o:spid="_x0000_s1026" style="position:absolute;left:0;text-align:left;margin-left:99.95pt;margin-top:4.3pt;width:336.45pt;height:285.85pt;z-index:251659264;mso-height-relative:margin" coordsize="42729,37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">
                <v:group id="Group 23" o:spid="_x0000_s1027" style="position:absolute;left:190;width:42539;height:37103" coordorigin="5043,1279" coordsize="36760,332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Oval 1" o:spid="_x0000_s1028" style="position:absolute;left:25985;top:5626;width:11361;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uo9sEA&#10;AADaAAAADwAAAGRycy9kb3ducmV2LnhtbERPTUvDQBC9F/wPywheSjOpFJHYbVFBIr0Uq3ieZsck&#10;mJ0Nu9sm+uu7hUJPw+N9znI92k4d2YfWiYZ5loNiqZxppdbw9fk2ewQVIomhzglr+OMA69XNZEmF&#10;cYN88HEXa5VCJBSkoYmxLxBD1bClkLmeJXE/zluKCfoajachhdsO7/P8AS21khoa6vm14ep3d7Aa&#10;MB9KnOPQb/z3YvuyLw/b/3Kq9d3t+PwEKvIYr+KL+92k+XB+5Xxxd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LqPbBAAAA2gAAAA8AAAAAAAAAAAAAAAAAmAIAAGRycy9kb3du&#10;cmV2LnhtbFBLBQYAAAAABAAEAPUAAACGAw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Attitude toward MNP</w:t>
                          </w:r>
                        </w:p>
                      </w:txbxContent>
                    </v:textbox>
                  </v:oval>
                  <v:oval id="Oval 2" o:spid="_x0000_s1029" style="position:absolute;left:16758;top:1279;width:10183;height:73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k2gcQA&#10;AADaAAAADwAAAGRycy9kb3ducmV2LnhtbESPQWvCQBSE74X+h+UVvBR9UUop0VXagkR6kVrx/Mw+&#10;k9Ds27C7mthf3y0UPA4z8w2zWA22VRf2oXGiYTrJQLGUzjRSadh/rccvoEIkMdQ6YQ1XDrBa3t8t&#10;KDeul0++7GKlEkRCThrqGLscMZQ1WwoT17Ek7+S8pZikr9B46hPctjjLsme01EhaqKnj95rL793Z&#10;asCsL3CKfffhD0/bt2Nx3v4Uj1qPHobXOajIQ7yF/9sbo2EGf1fSDcD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ZNoHEAAAA2gAAAA8AAAAAAAAAAAAAAAAAmAIAAGRycy9k&#10;b3ducmV2LnhtbFBLBQYAAAAABAAEAPUAAACJAw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Porting time cost</w:t>
                          </w:r>
                        </w:p>
                      </w:txbxContent>
                    </v:textbox>
                  </v:oval>
                  <v:oval id="Oval 10" o:spid="_x0000_s1030" style="position:absolute;left:5043;top:16637;width:15807;height:58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UVv8QA&#10;AADbAAAADwAAAGRycy9kb3ducmV2LnhtbESPQUvDQBCF70L/wzIFL2InFRGJ3ZZWkIiXYiuex+yY&#10;BLOzYXfbRH+9cxC8zfDevPfNajP53pw5pi6IheWiAMNSB9dJY+Ht+HR9DyZlEkd9ELbwzQk269nF&#10;ikoXRnnl8yE3RkMklWShzXkoEVPdsqe0CAOLap8hesq6xgZdpFHDfY83RXGHnjrRhpYGfmy5/jqc&#10;vAUsxgqXOA4v8f12v/uoTvuf6sray/m0fQCTecr/5r/rZ6f4Sq+/6AC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Fb/EAAAA2wAAAA8AAAAAAAAAAAAAAAAAmAIAAGRycy9k&#10;b3ducmV2LnhtbFBLBQYAAAAABAAEAPUAAACJAw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 xml:space="preserve">Consumer </w:t>
                          </w:r>
                          <w:proofErr w:type="spellStart"/>
                          <w:r w:rsidRPr="00DD4CCE">
                            <w:rPr>
                              <w:sz w:val="20"/>
                              <w:szCs w:val="20"/>
                            </w:rPr>
                            <w:t>behaviour</w:t>
                          </w:r>
                          <w:proofErr w:type="spellEnd"/>
                          <w:r w:rsidRPr="00DD4CCE">
                            <w:rPr>
                              <w:sz w:val="20"/>
                              <w:szCs w:val="20"/>
                            </w:rPr>
                            <w:t xml:space="preserve"> aspects</w:t>
                          </w:r>
                        </w:p>
                      </w:txbxContent>
                    </v:textbox>
                  </v:oval>
                  <v:oval id="Oval 12" o:spid="_x0000_s1031" style="position:absolute;left:28727;top:11801;width:12562;height:8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suU8IA&#10;AADbAAAADwAAAGRycy9kb3ducmV2LnhtbERPTWvCQBC9F/oflil4KTpRSinRVdqCRHqRWvE8Zsck&#10;NDsbdlcT++u7hYK3ebzPWawG26oL+9A40TCdZKBYSmcaqTTsv9bjF1AhkhhqnbCGKwdYLe/vFpQb&#10;18snX3axUilEQk4a6hi7HDGUNVsKE9exJO7kvKWYoK/QeOpTuG1xlmXPaKmR1FBTx+81l9+7s9WA&#10;WV/gFPvuwx+etm/H4rz9KR61Hj0Mr3NQkYd4E/+7NybNn8HfL+k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Oy5TwgAAANsAAAAPAAAAAAAAAAAAAAAAAJgCAABkcnMvZG93&#10;bnJldi54bWxQSwUGAAAAAAQABAD1AAAAhwM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MNP-induced switching efficacy</w:t>
                          </w:r>
                        </w:p>
                      </w:txbxContent>
                    </v:textbox>
                  </v:oval>
                  <v:oval id="Oval 13" o:spid="_x0000_s1032" style="position:absolute;left:27410;top:20800;width:14394;height:66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eLyMMA&#10;AADbAAAADwAAAGRycy9kb3ducmV2LnhtbERPTWvCQBC9F/oflil4KTrRliLRVdpCifQiWvE8ZqdJ&#10;aHY27K4m9td3C4Xe5vE+Z7kebKsu7EPjRMN0koFiKZ1ppNJw+Hgbz0GFSGKodcIarhxgvbq9WVJu&#10;XC87vuxjpVKIhJw01DF2OWIoa7YUJq5jSdyn85Zigr5C46lP4bbFWZY9oaVGUkNNHb/WXH7tz1YD&#10;Zn2BU+y7d3983L6civP2u7jXenQ3PC9ARR7iv/jPvTFp/gP8/pIOw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eLyMMAAADbAAAADwAAAAAAAAAAAAAAAACYAgAAZHJzL2Rv&#10;d25yZXYueG1sUEsFBgAAAAAEAAQA9QAAAIgDA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Perceived knowledge</w:t>
                          </w:r>
                        </w:p>
                      </w:txbxContent>
                    </v:textbox>
                  </v:oval>
                  <v:oval id="Oval 14" o:spid="_x0000_s1033" style="position:absolute;left:24510;top:27865;width:11891;height:6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TvMIA&#10;AADbAAAADwAAAGRycy9kb3ducmV2LnhtbERPTWvCQBC9F/oflil4KTqxSCnRVapQIr1Ibel5zI5J&#10;aHY27K4m7a/vCoK3ebzPWawG26oz+9A40TCdZKBYSmcaqTR8fb6NX0CFSGKodcIafjnAanl/t6Dc&#10;uF4++LyPlUohEnLSUMfY5YihrNlSmLiOJXFH5y3FBH2FxlOfwm2LT1n2jJYaSQ01dbypufzZn6wG&#10;zPoCp9h37/57tlsfitPur3jUevQwvM5BRR7iTXx1b02aP4PLL+k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nhO8wgAAANsAAAAPAAAAAAAAAAAAAAAAAJgCAABkcnMvZG93&#10;bnJldi54bWxQSwUGAAAAAAQABAD1AAAAhwM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Perceived usefulness of MNP</w:t>
                          </w:r>
                        </w:p>
                      </w:txbxContent>
                    </v:textbox>
                  </v:oval>
                  <v:shapetype id="_x0000_t32" coordsize="21600,21600" o:spt="32" o:oned="t" path="m,l21600,21600e" filled="f">
                    <v:path arrowok="t" fillok="f" o:connecttype="none"/>
                    <o:lock v:ext="edit" shapetype="t"/>
                  </v:shapetype>
                  <v:shape id="Straight Arrow Connector 15" o:spid="_x0000_s1034" type="#_x0000_t32" style="position:absolute;left:18248;top:22268;width:8003;height:65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8q+r8AAADbAAAADwAAAGRycy9kb3ducmV2LnhtbERPy6rCMBDdC/5DGMGdpgqKVqP44ILe&#10;nVVcD83YFptJbXJt/XtzQXA3h/Oc5bo1pXhS7QrLCkbDCARxanXBmYLL+WcwA+E8ssbSMil4kYP1&#10;qttZYqxtwyd6Jj4TIYRdjApy76tYSpfmZNANbUUcuJutDfoA60zqGpsQbko5jqKpNFhwaMixol1O&#10;6T35Mwoa9Nf5dpM9dtv98dBOysf0fPlVqt9rNwsQnlr/FX/cBx3mT+D/l3CAXL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h8q+r8AAADbAAAADwAAAAAAAAAAAAAAAACh&#10;AgAAZHJzL2Rvd25yZXYueG1sUEsFBgAAAAAEAAQA+QAAAI0DAAAAAA==&#10;" strokecolor="black [3200]" strokeweight=".5pt">
                    <v:stroke endarrow="block" joinstyle="miter"/>
                  </v:shape>
                  <v:shape id="Straight Arrow Connector 18" o:spid="_x0000_s1035" type="#_x0000_t32" style="position:absolute;left:19917;top:20989;width:7491;height:3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6FZMMAAADbAAAADwAAAGRycy9kb3ducmV2LnhtbESPT4vCQAzF78J+hyELe9OpCytaHUVd&#10;FtSbf/AcOrEtdjK1M2vrtzcHwVvCe3nvl9mic5W6UxNKzwaGgwQUceZtybmB0/GvPwYVIrLFyjMZ&#10;eFCAxfyjN8PU+pb3dD/EXEkIhxQNFDHWqdYhK8hhGPiaWLSLbxxGWZtc2wZbCXeV/k6SkXZYsjQU&#10;WNO6oOx6+HcGWoznyWqZ39ar3+2m+6luo+NpZ8zXZ7ecgorUxbf5db2xgi+w8osMoO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ehWTDAAAA2wAAAA8AAAAAAAAAAAAA&#10;AAAAoQIAAGRycy9kb3ducmV2LnhtbFBLBQYAAAAABAAEAPkAAACRAwAAAAA=&#10;" strokecolor="black [3200]" strokeweight=".5pt">
                    <v:stroke endarrow="block" joinstyle="miter"/>
                  </v:shape>
                  <v:shape id="Straight Arrow Connector 19" o:spid="_x0000_s1036" type="#_x0000_t32" style="position:absolute;left:20848;top:16200;width:7876;height:33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BmicIAAADbAAAADwAAAGRycy9kb3ducmV2LnhtbERPS2vCQBC+F/oflil4KbqpER+pqxSl&#10;tFejiN6m2WkSmp0NmVXTf98tFHqbj+85y3XvGnWlTmrPBp5GCSjiwtuaSwOH/etwDkoCssXGMxn4&#10;JoH16v5uiZn1N97RNQ+liiEsGRqoQmgzraWoyKGMfEscuU/fOQwRdqW2Hd5iuGv0OEmm2mHNsaHC&#10;ljYVFV/5xRlIw0TGu8lpJvm5/Hi02zSV45sxg4f+5RlUoD78i//c7zbOX8DvL/EAvf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nBmicIAAADbAAAADwAAAAAAAAAAAAAA&#10;AAChAgAAZHJzL2Rvd25yZXYueG1sUEsFBgAAAAAEAAQA+QAAAJADAAAAAA==&#10;" strokecolor="black [3200]" strokeweight=".5pt">
                    <v:stroke endarrow="block" joinstyle="miter"/>
                  </v:shape>
                  <v:shape id="Straight Arrow Connector 20" o:spid="_x0000_s1037" type="#_x0000_t32" style="position:absolute;left:18533;top:10067;width:8404;height:74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YFqcEAAADbAAAADwAAAGRycy9kb3ducmV2LnhtbERPTWvCQBC9F/wPywheim6aiErqKkUp&#10;7dVURG/T7DQJzc6GzKrpv+8eCj0+3vd6O7hW3aiXxrOBp1kCirj0tuHKwPHjdboCJQHZYuuZDPyQ&#10;wHYzelhjbv2dD3QrQqViCEuOBuoQulxrKWtyKDPfEUfuy/cOQ4R9pW2P9xjuWp0myUI7bDg21NjR&#10;rqbyu7g6A1mYS3qYn5dSXKrPR7vPMjm9GTMZDy/PoAIN4V/85363BtK4Pn6JP0Bv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JgWpwQAAANsAAAAPAAAAAAAAAAAAAAAA&#10;AKECAABkcnMvZG93bnJldi54bWxQSwUGAAAAAAQABAD5AAAAjwMAAAAA&#10;" strokecolor="black [3200]" strokeweight=".5pt">
                    <v:stroke endarrow="block" joinstyle="miter"/>
                  </v:shape>
                  <v:shape id="Straight Arrow Connector 21" o:spid="_x0000_s1038" type="#_x0000_t32" style="position:absolute;left:16320;top:8020;width:3597;height:87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qgMsQAAADbAAAADwAAAGRycy9kb3ducmV2LnhtbESPQWvCQBSE7wX/w/KEXkrdmIiV6Cql&#10;pbRXUyn19sw+k2D2bcjbavrvu4LQ4zAz3zCrzeBadaZeGs8GppMEFHHpbcOVgd3n2+MClARki61n&#10;MvBLApv16G6FufUX3tK5CJWKEJYcDdQhdLnWUtbkUCa+I47e0fcOQ5R9pW2Plwh3rU6TZK4dNhwX&#10;auzopabyVPw4A1mYSbqdfT9Jsa8OD/Y1y+Tr3Zj78fC8BBVoCP/hW/vDGkincP0Sf4Be/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aqAyxAAAANsAAAAPAAAAAAAAAAAA&#10;AAAAAKECAABkcnMvZG93bnJldi54bWxQSwUGAAAAAAQABAD5AAAAkgMAAAAA&#10;" strokecolor="black [3200]" strokeweight=".5pt">
                    <v:stroke endarrow="block" joinstyle="miter"/>
                  </v:shape>
                </v:group>
                <v:oval id="Oval 4" o:spid="_x0000_s1039" style="position:absolute;top:29813;width:20097;height:7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LbsQA&#10;AADaAAAADwAAAGRycy9kb3ducmV2LnhtbESPQUvDQBSE74L/YXmCF2leWkqR2G1RoUR6Ka3i+TX7&#10;TILZt2F320R/fVcQehxm5htmuR5tp87sQ+tEwzTLQbFUzrRSa/h430weQYVIYqhzwhp+OMB6dXuz&#10;pMK4QfZ8PsRaJYiEgjQ0MfYFYqgathQy17Mk78t5SzFJX6PxNCS47XCW5wu01EpaaKjn14ar78PJ&#10;asB8KHGKQ7/1n/Pdy7E87X7LB63v78bnJ1CRx3gN/7ffjIY5/F1JNw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C27EAAAA2gAAAA8AAAAAAAAAAAAAAAAAmAIAAGRycy9k&#10;b3ducmV2LnhtbFBLBQYAAAAABAAEAPUAAACJAwAAAAA=&#10;" fillcolor="white [3201]" strokecolor="#70ad47 [3209]" strokeweight="1pt">
                  <v:stroke joinstyle="miter"/>
                  <v:textbox>
                    <w:txbxContent>
                      <w:p w:rsidR="001D01CA" w:rsidRPr="00DD4CCE" w:rsidRDefault="001D01CA" w:rsidP="007341B9">
                        <w:pPr>
                          <w:jc w:val="center"/>
                          <w:rPr>
                            <w:sz w:val="20"/>
                            <w:szCs w:val="20"/>
                          </w:rPr>
                        </w:pPr>
                        <w:r w:rsidRPr="00DD4CCE">
                          <w:rPr>
                            <w:sz w:val="20"/>
                            <w:szCs w:val="20"/>
                          </w:rPr>
                          <w:t>Demography:</w:t>
                        </w:r>
                      </w:p>
                      <w:p w:rsidR="001D01CA" w:rsidRPr="00DD4CCE" w:rsidRDefault="001D01CA" w:rsidP="007341B9">
                        <w:pPr>
                          <w:rPr>
                            <w:sz w:val="20"/>
                            <w:szCs w:val="20"/>
                          </w:rPr>
                        </w:pPr>
                        <w:r w:rsidRPr="00DD4CCE">
                          <w:rPr>
                            <w:sz w:val="20"/>
                            <w:szCs w:val="20"/>
                          </w:rPr>
                          <w:t>Gender, age, education, income, marital status</w:t>
                        </w:r>
                      </w:p>
                    </w:txbxContent>
                  </v:textbox>
                </v:oval>
                <v:shape id="Straight Arrow Connector 5" o:spid="_x0000_s1040" type="#_x0000_t32" style="position:absolute;left:9048;top:23717;width:457;height:609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m+TMEAAADaAAAADwAAAGRycy9kb3ducmV2LnhtbESP3YrCMBSE74V9h3AWvBFNFRTtGkUE&#10;QcQL/x7g2JxtS5uT0kRbfXojCF4OM/MNM1+2phR3ql1uWcFwEIEgTqzOOVVwOW/6UxDOI2ssLZOC&#10;BzlYLn46c4y1bfhI95NPRYCwi1FB5n0VS+mSjAy6ga2Ig/dva4M+yDqVusYmwE0pR1E0kQZzDgsZ&#10;VrTOKClON6OgKZ7HfaF7u4Dd3vz5MJturjOlur/t6g+Ep9Z/w5/2VisYw/tKuAF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Wb5MwQAAANoAAAAPAAAAAAAAAAAAAAAA&#10;AKECAABkcnMvZG93bnJldi54bWxQSwUGAAAAAAQABAD5AAAAjwMAAAAA&#10;" strokecolor="black [3200]" strokeweight=".5pt">
                  <v:stroke endarrow="block" joinstyle="miter"/>
                </v:shape>
              </v:group>
            </w:pict>
          </mc:Fallback>
        </mc:AlternateContent>
      </w: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both"/>
        <w:rPr>
          <w:rFonts w:ascii="Times New Roman"/>
          <w:sz w:val="24"/>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Default="007341B9" w:rsidP="007341B9">
      <w:pPr>
        <w:pStyle w:val="NoSpacing"/>
        <w:jc w:val="center"/>
        <w:rPr>
          <w:rFonts w:ascii="Times New Roman"/>
          <w:szCs w:val="24"/>
        </w:rPr>
      </w:pPr>
    </w:p>
    <w:p w:rsidR="007341B9" w:rsidRPr="00D33DB0" w:rsidRDefault="007341B9" w:rsidP="007341B9">
      <w:pPr>
        <w:pStyle w:val="NoSpacing"/>
        <w:rPr>
          <w:rFonts w:ascii="Times New Roman"/>
          <w:sz w:val="18"/>
          <w:szCs w:val="24"/>
        </w:rPr>
      </w:pPr>
      <w:r w:rsidRPr="00D33DB0">
        <w:rPr>
          <w:rFonts w:ascii="Times New Roman"/>
          <w:sz w:val="20"/>
          <w:szCs w:val="24"/>
        </w:rPr>
        <w:t>Figure 1. Conceptual framework for the study</w:t>
      </w:r>
    </w:p>
    <w:p w:rsidR="007341B9" w:rsidRDefault="007341B9" w:rsidP="00DA7AA4">
      <w:pPr>
        <w:pStyle w:val="NoSpacing"/>
        <w:spacing w:line="276" w:lineRule="auto"/>
        <w:jc w:val="both"/>
        <w:rPr>
          <w:rFonts w:ascii="Times New Roman"/>
          <w:sz w:val="20"/>
          <w:szCs w:val="24"/>
        </w:rPr>
      </w:pPr>
    </w:p>
    <w:p w:rsidR="00535CB3" w:rsidRPr="00F519A4" w:rsidRDefault="00E104FD" w:rsidP="00DA7AA4">
      <w:pPr>
        <w:pStyle w:val="NoSpacing"/>
        <w:spacing w:line="276" w:lineRule="auto"/>
        <w:jc w:val="both"/>
        <w:rPr>
          <w:rFonts w:ascii="Times New Roman"/>
          <w:sz w:val="20"/>
          <w:szCs w:val="24"/>
        </w:rPr>
      </w:pPr>
      <w:r w:rsidRPr="00DA7AA4">
        <w:rPr>
          <w:rFonts w:ascii="Times New Roman"/>
          <w:sz w:val="20"/>
          <w:szCs w:val="24"/>
        </w:rPr>
        <w:t>A review of these theories reveal</w:t>
      </w:r>
      <w:r w:rsidR="009D398F" w:rsidRPr="00DA7AA4">
        <w:rPr>
          <w:rFonts w:ascii="Times New Roman"/>
          <w:sz w:val="20"/>
          <w:szCs w:val="24"/>
        </w:rPr>
        <w:t>s</w:t>
      </w:r>
      <w:r w:rsidRPr="00DA7AA4">
        <w:rPr>
          <w:rFonts w:ascii="Times New Roman"/>
          <w:sz w:val="20"/>
          <w:szCs w:val="24"/>
        </w:rPr>
        <w:t xml:space="preserve"> a number of factors and aspects of consumer </w:t>
      </w:r>
      <w:proofErr w:type="spellStart"/>
      <w:r w:rsidRPr="00DA7AA4">
        <w:rPr>
          <w:rFonts w:ascii="Times New Roman"/>
          <w:sz w:val="20"/>
          <w:szCs w:val="24"/>
        </w:rPr>
        <w:t>behaviour</w:t>
      </w:r>
      <w:proofErr w:type="spellEnd"/>
      <w:r w:rsidRPr="00DA7AA4">
        <w:rPr>
          <w:rFonts w:ascii="Times New Roman"/>
          <w:sz w:val="20"/>
          <w:szCs w:val="24"/>
        </w:rPr>
        <w:t xml:space="preserve"> towards the adoption and use of innovation. These include consumer attitude towards a </w:t>
      </w:r>
      <w:proofErr w:type="spellStart"/>
      <w:r w:rsidRPr="00DA7AA4">
        <w:rPr>
          <w:rFonts w:ascii="Times New Roman"/>
          <w:sz w:val="20"/>
          <w:szCs w:val="24"/>
        </w:rPr>
        <w:t>behaviour</w:t>
      </w:r>
      <w:proofErr w:type="spellEnd"/>
      <w:r w:rsidRPr="00DA7AA4">
        <w:rPr>
          <w:rFonts w:ascii="Times New Roman"/>
          <w:sz w:val="20"/>
          <w:szCs w:val="24"/>
        </w:rPr>
        <w:t xml:space="preserve"> or innovation, perceived ease of use (or effort expectancy</w:t>
      </w:r>
      <w:r w:rsidR="009D398F" w:rsidRPr="00DA7AA4">
        <w:rPr>
          <w:rFonts w:ascii="Times New Roman"/>
          <w:sz w:val="20"/>
          <w:szCs w:val="24"/>
        </w:rPr>
        <w:t>)</w:t>
      </w:r>
      <w:r w:rsidRPr="00DA7AA4">
        <w:rPr>
          <w:rFonts w:ascii="Times New Roman"/>
          <w:sz w:val="20"/>
          <w:szCs w:val="24"/>
        </w:rPr>
        <w:t>, perceived</w:t>
      </w:r>
      <w:r w:rsidR="009D398F" w:rsidRPr="00DA7AA4">
        <w:rPr>
          <w:rFonts w:ascii="Times New Roman"/>
          <w:sz w:val="20"/>
          <w:szCs w:val="24"/>
        </w:rPr>
        <w:t xml:space="preserve"> usefulness (or performance expectancy), </w:t>
      </w:r>
      <w:r w:rsidR="00E822DA" w:rsidRPr="00DA7AA4">
        <w:rPr>
          <w:rFonts w:ascii="Times New Roman"/>
          <w:sz w:val="20"/>
          <w:szCs w:val="24"/>
        </w:rPr>
        <w:t xml:space="preserve">perceived </w:t>
      </w:r>
      <w:proofErr w:type="spellStart"/>
      <w:r w:rsidR="00E822DA" w:rsidRPr="00DA7AA4">
        <w:rPr>
          <w:rFonts w:ascii="Times New Roman"/>
          <w:sz w:val="20"/>
          <w:szCs w:val="24"/>
        </w:rPr>
        <w:t>behaviour</w:t>
      </w:r>
      <w:proofErr w:type="spellEnd"/>
      <w:r w:rsidR="00E822DA" w:rsidRPr="00DA7AA4">
        <w:rPr>
          <w:rFonts w:ascii="Times New Roman"/>
          <w:sz w:val="20"/>
          <w:szCs w:val="24"/>
        </w:rPr>
        <w:t xml:space="preserve"> control or self-efficacy, </w:t>
      </w:r>
      <w:r w:rsidR="00C975FF" w:rsidRPr="00DA7AA4">
        <w:rPr>
          <w:rFonts w:ascii="Times New Roman"/>
          <w:sz w:val="20"/>
          <w:szCs w:val="24"/>
        </w:rPr>
        <w:t xml:space="preserve">social influence, </w:t>
      </w:r>
      <w:r w:rsidR="00FC6C05" w:rsidRPr="00DA7AA4">
        <w:rPr>
          <w:rFonts w:ascii="Times New Roman"/>
          <w:sz w:val="20"/>
          <w:szCs w:val="24"/>
        </w:rPr>
        <w:t>consumer knowledge of innov</w:t>
      </w:r>
      <w:r w:rsidR="00741946" w:rsidRPr="00DA7AA4">
        <w:rPr>
          <w:rFonts w:ascii="Times New Roman"/>
          <w:sz w:val="20"/>
          <w:szCs w:val="24"/>
        </w:rPr>
        <w:t xml:space="preserve">ation, </w:t>
      </w:r>
      <w:r w:rsidR="00C975FF" w:rsidRPr="00DA7AA4">
        <w:rPr>
          <w:rFonts w:ascii="Times New Roman"/>
          <w:sz w:val="20"/>
          <w:szCs w:val="24"/>
        </w:rPr>
        <w:t>among others</w:t>
      </w:r>
      <w:r w:rsidR="00F05E5A" w:rsidRPr="00DA7AA4">
        <w:rPr>
          <w:rFonts w:ascii="Times New Roman"/>
          <w:sz w:val="20"/>
          <w:szCs w:val="24"/>
        </w:rPr>
        <w:t xml:space="preserve"> (</w:t>
      </w:r>
      <w:proofErr w:type="spellStart"/>
      <w:r w:rsidR="00014D17" w:rsidRPr="00DA7AA4">
        <w:rPr>
          <w:rFonts w:ascii="Times New Roman"/>
          <w:sz w:val="20"/>
          <w:szCs w:val="24"/>
        </w:rPr>
        <w:t>Hoehle</w:t>
      </w:r>
      <w:proofErr w:type="spellEnd"/>
      <w:r w:rsidR="00014D17" w:rsidRPr="00DA7AA4">
        <w:rPr>
          <w:rFonts w:ascii="Times New Roman"/>
          <w:sz w:val="20"/>
          <w:szCs w:val="24"/>
        </w:rPr>
        <w:t xml:space="preserve">, </w:t>
      </w:r>
      <w:proofErr w:type="spellStart"/>
      <w:r w:rsidR="00014D17" w:rsidRPr="00DA7AA4">
        <w:rPr>
          <w:rFonts w:ascii="Times New Roman"/>
          <w:sz w:val="20"/>
          <w:szCs w:val="24"/>
        </w:rPr>
        <w:t>Scornavacca</w:t>
      </w:r>
      <w:proofErr w:type="spellEnd"/>
      <w:r w:rsidR="00014D17" w:rsidRPr="00DA7AA4">
        <w:rPr>
          <w:rFonts w:ascii="Times New Roman"/>
          <w:sz w:val="20"/>
          <w:szCs w:val="24"/>
        </w:rPr>
        <w:t xml:space="preserve">, </w:t>
      </w:r>
      <w:r w:rsidR="00646D41">
        <w:rPr>
          <w:rFonts w:ascii="Times New Roman"/>
          <w:sz w:val="20"/>
          <w:szCs w:val="24"/>
        </w:rPr>
        <w:t>and</w:t>
      </w:r>
      <w:r w:rsidR="00991FA5">
        <w:rPr>
          <w:rFonts w:ascii="Times New Roman"/>
          <w:sz w:val="20"/>
          <w:szCs w:val="24"/>
        </w:rPr>
        <w:t xml:space="preserve"> Huff</w:t>
      </w:r>
      <w:r w:rsidR="00014D17" w:rsidRPr="00DA7AA4">
        <w:rPr>
          <w:rFonts w:ascii="Times New Roman"/>
          <w:sz w:val="20"/>
          <w:szCs w:val="24"/>
        </w:rPr>
        <w:t xml:space="preserve"> </w:t>
      </w:r>
      <w:r w:rsidR="008F25DF" w:rsidRPr="00DA7AA4">
        <w:rPr>
          <w:rFonts w:ascii="Times New Roman"/>
          <w:sz w:val="20"/>
          <w:szCs w:val="24"/>
        </w:rPr>
        <w:t xml:space="preserve">2012; </w:t>
      </w:r>
      <w:proofErr w:type="spellStart"/>
      <w:r w:rsidR="00F05E5A" w:rsidRPr="00DA7AA4">
        <w:rPr>
          <w:rFonts w:ascii="Times New Roman"/>
          <w:sz w:val="20"/>
          <w:szCs w:val="24"/>
        </w:rPr>
        <w:t>Venkatesh</w:t>
      </w:r>
      <w:proofErr w:type="spellEnd"/>
      <w:r w:rsidR="00F05E5A" w:rsidRPr="00DA7AA4">
        <w:rPr>
          <w:rFonts w:ascii="Times New Roman"/>
          <w:sz w:val="20"/>
          <w:szCs w:val="24"/>
        </w:rPr>
        <w:t>, et al. 2012)</w:t>
      </w:r>
      <w:r w:rsidR="00C975FF" w:rsidRPr="00DA7AA4">
        <w:rPr>
          <w:rFonts w:ascii="Times New Roman"/>
          <w:sz w:val="20"/>
          <w:szCs w:val="24"/>
        </w:rPr>
        <w:t xml:space="preserve">. </w:t>
      </w:r>
      <w:r w:rsidR="000B364E" w:rsidRPr="00DA7AA4">
        <w:rPr>
          <w:rFonts w:ascii="Times New Roman"/>
          <w:sz w:val="20"/>
          <w:szCs w:val="24"/>
        </w:rPr>
        <w:t xml:space="preserve">These consumer </w:t>
      </w:r>
      <w:proofErr w:type="spellStart"/>
      <w:r w:rsidR="000B364E" w:rsidRPr="00DA7AA4">
        <w:rPr>
          <w:rFonts w:ascii="Times New Roman"/>
          <w:sz w:val="20"/>
          <w:szCs w:val="24"/>
        </w:rPr>
        <w:t>behaviour</w:t>
      </w:r>
      <w:proofErr w:type="spellEnd"/>
      <w:r w:rsidR="000B364E" w:rsidRPr="00DA7AA4">
        <w:rPr>
          <w:rFonts w:ascii="Times New Roman"/>
          <w:sz w:val="20"/>
          <w:szCs w:val="24"/>
        </w:rPr>
        <w:t xml:space="preserve"> aspects have been found to be influenced by consumer demographic variables such as gender, age, income, education, marital status,</w:t>
      </w:r>
      <w:r w:rsidR="00991FA5">
        <w:rPr>
          <w:rFonts w:ascii="Times New Roman"/>
          <w:sz w:val="20"/>
          <w:szCs w:val="24"/>
        </w:rPr>
        <w:t xml:space="preserve"> among others (</w:t>
      </w:r>
      <w:proofErr w:type="spellStart"/>
      <w:r w:rsidR="00991FA5">
        <w:rPr>
          <w:rFonts w:ascii="Times New Roman"/>
          <w:sz w:val="20"/>
          <w:szCs w:val="24"/>
        </w:rPr>
        <w:t>Venkatesh</w:t>
      </w:r>
      <w:proofErr w:type="spellEnd"/>
      <w:r w:rsidR="00991FA5">
        <w:rPr>
          <w:rFonts w:ascii="Times New Roman"/>
          <w:sz w:val="20"/>
          <w:szCs w:val="24"/>
        </w:rPr>
        <w:t xml:space="preserve"> et al. 2003; </w:t>
      </w:r>
      <w:proofErr w:type="spellStart"/>
      <w:r w:rsidR="00991FA5">
        <w:rPr>
          <w:rFonts w:ascii="Times New Roman"/>
          <w:sz w:val="20"/>
          <w:szCs w:val="24"/>
        </w:rPr>
        <w:t>Venkatesh</w:t>
      </w:r>
      <w:proofErr w:type="spellEnd"/>
      <w:r w:rsidR="00991FA5">
        <w:rPr>
          <w:rFonts w:ascii="Times New Roman"/>
          <w:sz w:val="20"/>
          <w:szCs w:val="24"/>
        </w:rPr>
        <w:t xml:space="preserve"> et al</w:t>
      </w:r>
      <w:r w:rsidR="004264EB">
        <w:rPr>
          <w:rFonts w:ascii="Times New Roman"/>
          <w:sz w:val="20"/>
          <w:szCs w:val="24"/>
        </w:rPr>
        <w:t>.</w:t>
      </w:r>
      <w:r w:rsidR="000B364E" w:rsidRPr="00DA7AA4">
        <w:rPr>
          <w:rFonts w:ascii="Times New Roman"/>
          <w:sz w:val="20"/>
          <w:szCs w:val="24"/>
        </w:rPr>
        <w:t xml:space="preserve"> </w:t>
      </w:r>
      <w:r w:rsidR="00B9641D" w:rsidRPr="00DA7AA4">
        <w:rPr>
          <w:rFonts w:ascii="Times New Roman"/>
          <w:sz w:val="20"/>
          <w:szCs w:val="24"/>
        </w:rPr>
        <w:t>2012), and in particular in the context of MNP adoption (</w:t>
      </w:r>
      <w:proofErr w:type="spellStart"/>
      <w:r w:rsidR="00F519A4" w:rsidRPr="00280587">
        <w:rPr>
          <w:rFonts w:ascii="Times New Roman" w:hAnsi="Times New Roman" w:cs="Times New Roman"/>
          <w:sz w:val="20"/>
          <w:szCs w:val="20"/>
        </w:rPr>
        <w:t>Abdramon</w:t>
      </w:r>
      <w:proofErr w:type="spellEnd"/>
      <w:r w:rsidR="00F519A4" w:rsidRPr="00280587">
        <w:rPr>
          <w:rFonts w:ascii="Times New Roman" w:hAnsi="Times New Roman" w:cs="Times New Roman"/>
          <w:sz w:val="20"/>
          <w:szCs w:val="20"/>
        </w:rPr>
        <w:t xml:space="preserve"> </w:t>
      </w:r>
      <w:r w:rsidR="00646D41">
        <w:rPr>
          <w:rFonts w:ascii="Times New Roman" w:hAnsi="Times New Roman" w:cs="Times New Roman"/>
          <w:sz w:val="20"/>
          <w:szCs w:val="20"/>
        </w:rPr>
        <w:t>and</w:t>
      </w:r>
      <w:r w:rsidR="00991FA5">
        <w:rPr>
          <w:rFonts w:ascii="Times New Roman" w:hAnsi="Times New Roman" w:cs="Times New Roman"/>
          <w:sz w:val="20"/>
          <w:szCs w:val="20"/>
        </w:rPr>
        <w:t xml:space="preserve"> </w:t>
      </w:r>
      <w:proofErr w:type="spellStart"/>
      <w:r w:rsidR="00991FA5">
        <w:rPr>
          <w:rFonts w:ascii="Times New Roman" w:hAnsi="Times New Roman" w:cs="Times New Roman"/>
          <w:sz w:val="20"/>
          <w:szCs w:val="20"/>
        </w:rPr>
        <w:t>Mejabi</w:t>
      </w:r>
      <w:proofErr w:type="spellEnd"/>
      <w:r w:rsidR="00F519A4" w:rsidRPr="00280587">
        <w:rPr>
          <w:rFonts w:ascii="Times New Roman" w:hAnsi="Times New Roman" w:cs="Times New Roman"/>
          <w:sz w:val="20"/>
          <w:szCs w:val="20"/>
        </w:rPr>
        <w:t xml:space="preserve"> 2012</w:t>
      </w:r>
      <w:r w:rsidR="00F519A4" w:rsidRPr="00A261D3">
        <w:rPr>
          <w:rFonts w:ascii="Times New Roman" w:hAnsi="Times New Roman" w:cs="Times New Roman"/>
          <w:sz w:val="20"/>
          <w:szCs w:val="20"/>
        </w:rPr>
        <w:t xml:space="preserve">; Homburg </w:t>
      </w:r>
      <w:r w:rsidR="00646D41">
        <w:rPr>
          <w:rFonts w:ascii="Times New Roman" w:hAnsi="Times New Roman" w:cs="Times New Roman"/>
          <w:sz w:val="20"/>
          <w:szCs w:val="20"/>
        </w:rPr>
        <w:t>and</w:t>
      </w:r>
      <w:r w:rsidR="00991FA5">
        <w:rPr>
          <w:rFonts w:ascii="Times New Roman" w:hAnsi="Times New Roman" w:cs="Times New Roman"/>
          <w:sz w:val="20"/>
          <w:szCs w:val="20"/>
        </w:rPr>
        <w:t xml:space="preserve"> </w:t>
      </w:r>
      <w:proofErr w:type="spellStart"/>
      <w:r w:rsidR="00991FA5">
        <w:rPr>
          <w:rFonts w:ascii="Times New Roman" w:hAnsi="Times New Roman" w:cs="Times New Roman"/>
          <w:sz w:val="20"/>
          <w:szCs w:val="20"/>
        </w:rPr>
        <w:t>Giering</w:t>
      </w:r>
      <w:proofErr w:type="spellEnd"/>
      <w:r w:rsidR="00F519A4" w:rsidRPr="00A261D3">
        <w:rPr>
          <w:rFonts w:ascii="Times New Roman" w:hAnsi="Times New Roman" w:cs="Times New Roman"/>
          <w:sz w:val="20"/>
          <w:szCs w:val="20"/>
        </w:rPr>
        <w:t xml:space="preserve"> 2001; </w:t>
      </w:r>
      <w:proofErr w:type="spellStart"/>
      <w:r w:rsidR="00F519A4" w:rsidRPr="00A261D3">
        <w:rPr>
          <w:rFonts w:ascii="Times New Roman" w:hAnsi="Times New Roman" w:cs="Times New Roman"/>
          <w:sz w:val="20"/>
          <w:szCs w:val="20"/>
        </w:rPr>
        <w:t>Ooko</w:t>
      </w:r>
      <w:proofErr w:type="spellEnd"/>
      <w:r w:rsidR="00F519A4" w:rsidRPr="00280587">
        <w:rPr>
          <w:rFonts w:ascii="Times New Roman" w:hAnsi="Times New Roman" w:cs="Times New Roman"/>
          <w:sz w:val="20"/>
          <w:szCs w:val="20"/>
        </w:rPr>
        <w:t xml:space="preserve"> et al. 2014</w:t>
      </w:r>
      <w:r w:rsidR="002C07B3" w:rsidRPr="00DA7AA4">
        <w:rPr>
          <w:rFonts w:ascii="Times New Roman"/>
          <w:sz w:val="20"/>
          <w:szCs w:val="24"/>
        </w:rPr>
        <w:t>).</w:t>
      </w:r>
      <w:r w:rsidR="00F519A4">
        <w:rPr>
          <w:rFonts w:ascii="Times New Roman"/>
          <w:sz w:val="20"/>
          <w:szCs w:val="24"/>
        </w:rPr>
        <w:t xml:space="preserve"> </w:t>
      </w:r>
      <w:r w:rsidR="00E26026" w:rsidRPr="00DA7AA4">
        <w:rPr>
          <w:rFonts w:ascii="Times New Roman" w:hAnsi="Times New Roman" w:cs="Times New Roman"/>
          <w:sz w:val="20"/>
          <w:szCs w:val="24"/>
        </w:rPr>
        <w:t>More r</w:t>
      </w:r>
      <w:r w:rsidR="00991FA5">
        <w:rPr>
          <w:rFonts w:ascii="Times New Roman" w:hAnsi="Times New Roman" w:cs="Times New Roman"/>
          <w:sz w:val="20"/>
          <w:szCs w:val="24"/>
        </w:rPr>
        <w:t xml:space="preserve">ecently, Nimako et al. (2014, </w:t>
      </w:r>
      <w:r w:rsidR="004264EB">
        <w:rPr>
          <w:rFonts w:ascii="Times New Roman" w:hAnsi="Times New Roman" w:cs="Times New Roman"/>
          <w:sz w:val="20"/>
          <w:szCs w:val="24"/>
        </w:rPr>
        <w:t xml:space="preserve">p. </w:t>
      </w:r>
      <w:r w:rsidR="00E26026" w:rsidRPr="00DA7AA4">
        <w:rPr>
          <w:rFonts w:ascii="Times New Roman" w:hAnsi="Times New Roman" w:cs="Times New Roman"/>
          <w:sz w:val="20"/>
          <w:szCs w:val="24"/>
        </w:rPr>
        <w:t xml:space="preserve">121) show that </w:t>
      </w:r>
      <w:r w:rsidR="00E26026" w:rsidRPr="00DA7AA4">
        <w:rPr>
          <w:rFonts w:ascii="Times New Roman" w:hAnsi="Times New Roman" w:cs="Times New Roman"/>
          <w:i/>
          <w:sz w:val="20"/>
          <w:szCs w:val="24"/>
        </w:rPr>
        <w:t>“Fundamentally, MNP policy implementation provides the opportunity to switch, serves as an essential tool and resource to switch, and a facilitating condition that influences consumers’ belief in their ability to switch.”</w:t>
      </w:r>
      <w:r w:rsidR="00E26026" w:rsidRPr="00DA7AA4">
        <w:rPr>
          <w:rFonts w:ascii="Times New Roman" w:hAnsi="Times New Roman" w:cs="Times New Roman"/>
          <w:sz w:val="20"/>
          <w:szCs w:val="24"/>
        </w:rPr>
        <w:t xml:space="preserve">  T</w:t>
      </w:r>
      <w:r w:rsidR="00021022">
        <w:rPr>
          <w:rFonts w:ascii="Times New Roman" w:hAnsi="Times New Roman" w:cs="Times New Roman"/>
          <w:sz w:val="20"/>
          <w:szCs w:val="24"/>
        </w:rPr>
        <w:t>he authors first used the term</w:t>
      </w:r>
      <w:r w:rsidR="00E26026" w:rsidRPr="00DA7AA4">
        <w:rPr>
          <w:rFonts w:ascii="Times New Roman" w:hAnsi="Times New Roman" w:cs="Times New Roman"/>
          <w:sz w:val="20"/>
          <w:szCs w:val="24"/>
        </w:rPr>
        <w:t xml:space="preserve"> MNP-induced switching efficacy to refer to an </w:t>
      </w:r>
      <w:r w:rsidR="00E26026" w:rsidRPr="00DA7AA4">
        <w:rPr>
          <w:rFonts w:ascii="Times New Roman" w:hAnsi="Times New Roman" w:cs="Times New Roman"/>
          <w:i/>
          <w:sz w:val="20"/>
          <w:szCs w:val="24"/>
        </w:rPr>
        <w:t xml:space="preserve">“externally oriented factor that provides the facilitating condition, resources, and opportunity to induce confidence in consumers’ ability to switch.” </w:t>
      </w:r>
      <w:r w:rsidR="00991FA5">
        <w:rPr>
          <w:rFonts w:ascii="Times New Roman" w:hAnsi="Times New Roman" w:cs="Times New Roman"/>
          <w:sz w:val="20"/>
          <w:szCs w:val="24"/>
        </w:rPr>
        <w:t xml:space="preserve">(Nimako et al., </w:t>
      </w:r>
      <w:r w:rsidR="004264EB">
        <w:rPr>
          <w:rFonts w:ascii="Times New Roman" w:hAnsi="Times New Roman" w:cs="Times New Roman"/>
          <w:sz w:val="20"/>
          <w:szCs w:val="24"/>
        </w:rPr>
        <w:t xml:space="preserve">p. </w:t>
      </w:r>
      <w:r w:rsidR="00E26026" w:rsidRPr="00DA7AA4">
        <w:rPr>
          <w:rFonts w:ascii="Times New Roman" w:hAnsi="Times New Roman" w:cs="Times New Roman"/>
          <w:sz w:val="20"/>
          <w:szCs w:val="24"/>
        </w:rPr>
        <w:t>123).</w:t>
      </w:r>
    </w:p>
    <w:p w:rsidR="00107FC0" w:rsidRPr="00DA7AA4" w:rsidRDefault="00107FC0" w:rsidP="00DA7AA4">
      <w:pPr>
        <w:pStyle w:val="NoSpacing"/>
        <w:spacing w:line="276" w:lineRule="auto"/>
        <w:jc w:val="both"/>
        <w:rPr>
          <w:rFonts w:ascii="Times New Roman" w:hAnsi="Times New Roman" w:cs="Times New Roman"/>
          <w:sz w:val="20"/>
          <w:szCs w:val="24"/>
        </w:rPr>
      </w:pPr>
    </w:p>
    <w:p w:rsidR="008A019A" w:rsidRDefault="00107FC0" w:rsidP="00D33DB0">
      <w:pPr>
        <w:pStyle w:val="NoSpacing"/>
        <w:spacing w:line="276" w:lineRule="auto"/>
        <w:jc w:val="both"/>
        <w:rPr>
          <w:rFonts w:ascii="Times New Roman" w:hAnsi="Times New Roman" w:cs="Times New Roman"/>
          <w:sz w:val="20"/>
          <w:szCs w:val="24"/>
        </w:rPr>
      </w:pPr>
      <w:r w:rsidRPr="00DA7AA4">
        <w:rPr>
          <w:rFonts w:ascii="Times New Roman" w:hAnsi="Times New Roman" w:cs="Times New Roman"/>
          <w:sz w:val="20"/>
          <w:szCs w:val="24"/>
        </w:rPr>
        <w:t xml:space="preserve">Therefore, the conceptual framework (see Figure 1) examines consumer </w:t>
      </w:r>
      <w:proofErr w:type="spellStart"/>
      <w:r w:rsidRPr="00DA7AA4">
        <w:rPr>
          <w:rFonts w:ascii="Times New Roman" w:hAnsi="Times New Roman" w:cs="Times New Roman"/>
          <w:sz w:val="20"/>
          <w:szCs w:val="24"/>
        </w:rPr>
        <w:t>behaviour</w:t>
      </w:r>
      <w:proofErr w:type="spellEnd"/>
      <w:r w:rsidRPr="00DA7AA4">
        <w:rPr>
          <w:rFonts w:ascii="Times New Roman" w:hAnsi="Times New Roman" w:cs="Times New Roman"/>
          <w:sz w:val="20"/>
          <w:szCs w:val="24"/>
        </w:rPr>
        <w:t xml:space="preserve"> towards MNP policy by evaluating consumer </w:t>
      </w:r>
      <w:proofErr w:type="spellStart"/>
      <w:r w:rsidRPr="00DA7AA4">
        <w:rPr>
          <w:rFonts w:ascii="Times New Roman" w:hAnsi="Times New Roman" w:cs="Times New Roman"/>
          <w:sz w:val="20"/>
          <w:szCs w:val="24"/>
        </w:rPr>
        <w:t>behaviour</w:t>
      </w:r>
      <w:proofErr w:type="spellEnd"/>
      <w:r w:rsidRPr="00DA7AA4">
        <w:rPr>
          <w:rFonts w:ascii="Times New Roman" w:hAnsi="Times New Roman" w:cs="Times New Roman"/>
          <w:sz w:val="20"/>
          <w:szCs w:val="24"/>
        </w:rPr>
        <w:t xml:space="preserve"> aspects such as perceived usefulness of MNP, MNP-induced switching-efficacy, perceived porting effort and time, attitude towards MNP, level of consumer knowledge of MNP policy. It will also assess the influence of consumer demographic variables such as gender, age, income, education, marital status on the aspects of consumer </w:t>
      </w:r>
      <w:proofErr w:type="spellStart"/>
      <w:r w:rsidRPr="00DA7AA4">
        <w:rPr>
          <w:rFonts w:ascii="Times New Roman" w:hAnsi="Times New Roman" w:cs="Times New Roman"/>
          <w:sz w:val="20"/>
          <w:szCs w:val="24"/>
        </w:rPr>
        <w:t>behaviour</w:t>
      </w:r>
      <w:proofErr w:type="spellEnd"/>
      <w:r w:rsidRPr="00DA7AA4">
        <w:rPr>
          <w:rFonts w:ascii="Times New Roman" w:hAnsi="Times New Roman" w:cs="Times New Roman"/>
          <w:sz w:val="20"/>
          <w:szCs w:val="24"/>
        </w:rPr>
        <w:t xml:space="preserve"> towards MNP policy.</w:t>
      </w:r>
    </w:p>
    <w:p w:rsidR="00D33DB0" w:rsidRDefault="00D33DB0" w:rsidP="00280587">
      <w:pPr>
        <w:pStyle w:val="NoSpacing"/>
        <w:spacing w:line="276" w:lineRule="auto"/>
        <w:jc w:val="both"/>
        <w:rPr>
          <w:rFonts w:ascii="Times New Roman"/>
          <w:sz w:val="24"/>
          <w:szCs w:val="24"/>
        </w:rPr>
      </w:pPr>
    </w:p>
    <w:p w:rsidR="00494BA9" w:rsidRPr="001D01CA" w:rsidRDefault="00A374FE" w:rsidP="00280587">
      <w:pPr>
        <w:pStyle w:val="NoSpacing"/>
        <w:spacing w:line="276" w:lineRule="auto"/>
        <w:jc w:val="both"/>
        <w:rPr>
          <w:rFonts w:ascii="Times New Roman"/>
          <w:b/>
          <w:sz w:val="24"/>
          <w:szCs w:val="24"/>
        </w:rPr>
      </w:pPr>
      <w:r w:rsidRPr="001D01CA">
        <w:rPr>
          <w:rFonts w:ascii="Times New Roman"/>
          <w:b/>
          <w:sz w:val="24"/>
          <w:szCs w:val="24"/>
        </w:rPr>
        <w:t>Methodology</w:t>
      </w:r>
    </w:p>
    <w:p w:rsidR="00494BA9" w:rsidRPr="00280587" w:rsidRDefault="00494BA9" w:rsidP="00280587">
      <w:pPr>
        <w:pBdr>
          <w:top w:val="none" w:sz="0" w:space="0" w:color="auto"/>
          <w:left w:val="none" w:sz="0" w:space="0" w:color="auto"/>
          <w:bottom w:val="none" w:sz="0" w:space="0" w:color="auto"/>
          <w:right w:val="none" w:sz="0" w:space="0" w:color="auto"/>
        </w:pBdr>
        <w:spacing w:after="80" w:line="276" w:lineRule="auto"/>
        <w:jc w:val="both"/>
        <w:rPr>
          <w:iCs/>
          <w:sz w:val="20"/>
        </w:rPr>
      </w:pPr>
      <w:r w:rsidRPr="00280587">
        <w:rPr>
          <w:iCs/>
          <w:sz w:val="20"/>
        </w:rPr>
        <w:t xml:space="preserve">The population consisted of 26,591,124 individual subscribers as </w:t>
      </w:r>
      <w:r w:rsidR="00991FA5">
        <w:rPr>
          <w:iCs/>
          <w:sz w:val="20"/>
        </w:rPr>
        <w:t>of April, 2013 (NCA</w:t>
      </w:r>
      <w:r w:rsidRPr="00280587">
        <w:rPr>
          <w:iCs/>
          <w:sz w:val="20"/>
        </w:rPr>
        <w:t xml:space="preserve"> 2013) from all the six mobile telecommunication operators in Ghana, operating under these brand names: MTN Ghana, Vodafone Ghana, Airtel Ghana, </w:t>
      </w:r>
      <w:proofErr w:type="spellStart"/>
      <w:r w:rsidRPr="00280587">
        <w:rPr>
          <w:iCs/>
          <w:sz w:val="20"/>
        </w:rPr>
        <w:t>Tigo</w:t>
      </w:r>
      <w:proofErr w:type="spellEnd"/>
      <w:r w:rsidRPr="00280587">
        <w:rPr>
          <w:iCs/>
          <w:sz w:val="20"/>
        </w:rPr>
        <w:t xml:space="preserve">, Expresso and </w:t>
      </w:r>
      <w:proofErr w:type="spellStart"/>
      <w:r w:rsidRPr="00280587">
        <w:rPr>
          <w:iCs/>
          <w:sz w:val="20"/>
        </w:rPr>
        <w:t>Glo</w:t>
      </w:r>
      <w:proofErr w:type="spellEnd"/>
      <w:r w:rsidRPr="00280587">
        <w:rPr>
          <w:iCs/>
          <w:sz w:val="20"/>
        </w:rPr>
        <w:t xml:space="preserve"> Ghana. The appropriate samp</w:t>
      </w:r>
      <w:r w:rsidR="00E07CA2" w:rsidRPr="00280587">
        <w:rPr>
          <w:iCs/>
          <w:sz w:val="20"/>
        </w:rPr>
        <w:t>le size was estimated using Yama</w:t>
      </w:r>
      <w:r w:rsidRPr="00280587">
        <w:rPr>
          <w:iCs/>
          <w:sz w:val="20"/>
        </w:rPr>
        <w:t xml:space="preserve">ne’s (1967) formula </w:t>
      </w:r>
      <w:r w:rsidRPr="00280587">
        <w:rPr>
          <w:iCs/>
          <w:sz w:val="20"/>
        </w:rPr>
        <w:lastRenderedPageBreak/>
        <w:t>that yielded a minimum sample size of 400. In order to collect data of high quality that reflect customers’ opinion and have quality of good representativeness, a survey was conducted from a cross-section of subscribers of mobile telecom service providers across the country in July 2013. The survey yielded a usable 736 questionnaires returned representing 73.6% response rate for analysis.</w:t>
      </w:r>
    </w:p>
    <w:p w:rsidR="00782A82" w:rsidRPr="001D01CA" w:rsidRDefault="00494BA9" w:rsidP="001D01CA">
      <w:pPr>
        <w:pBdr>
          <w:top w:val="none" w:sz="0" w:space="0" w:color="auto"/>
          <w:left w:val="none" w:sz="0" w:space="0" w:color="auto"/>
          <w:bottom w:val="none" w:sz="0" w:space="0" w:color="auto"/>
          <w:right w:val="none" w:sz="0" w:space="0" w:color="auto"/>
        </w:pBdr>
        <w:spacing w:after="80" w:line="276" w:lineRule="auto"/>
        <w:jc w:val="both"/>
        <w:rPr>
          <w:iCs/>
          <w:sz w:val="20"/>
        </w:rPr>
      </w:pPr>
      <w:r w:rsidRPr="00280587">
        <w:rPr>
          <w:iCs/>
          <w:sz w:val="20"/>
        </w:rPr>
        <w:t xml:space="preserve">A self-administered, structured questionnaire was developed and pre-tested to a sample of twenty (20) customers. Adjustments were made based on the pre-test to get a more effective instrument. After that the questionnaire was finally administered to mobile subscribers through personal contact by researchers for nearly three weeks. Since high predictive validity was a major concern, a five-point Likert scale was used, as recommended in previous work (Danaher </w:t>
      </w:r>
      <w:r w:rsidR="00646D41">
        <w:rPr>
          <w:iCs/>
          <w:sz w:val="20"/>
        </w:rPr>
        <w:t>and</w:t>
      </w:r>
      <w:r w:rsidR="00991FA5">
        <w:rPr>
          <w:iCs/>
          <w:sz w:val="20"/>
        </w:rPr>
        <w:t xml:space="preserve"> </w:t>
      </w:r>
      <w:proofErr w:type="spellStart"/>
      <w:r w:rsidR="00991FA5">
        <w:rPr>
          <w:iCs/>
          <w:sz w:val="20"/>
        </w:rPr>
        <w:t>Haddrell</w:t>
      </w:r>
      <w:proofErr w:type="spellEnd"/>
      <w:r w:rsidRPr="00280587">
        <w:rPr>
          <w:iCs/>
          <w:sz w:val="20"/>
        </w:rPr>
        <w:t xml:space="preserve"> 1996), to measure variables for the eleven research constructs. The Likert scale ranged from strongly disagree to strongly agree, coded 1 to 5 respectively. In all, the </w:t>
      </w:r>
      <w:r w:rsidR="00226C5D" w:rsidRPr="00280587">
        <w:rPr>
          <w:iCs/>
          <w:sz w:val="20"/>
        </w:rPr>
        <w:t xml:space="preserve">14 </w:t>
      </w:r>
      <w:r w:rsidRPr="00280587">
        <w:rPr>
          <w:iCs/>
          <w:sz w:val="20"/>
        </w:rPr>
        <w:t>measurement items were derived from previous studies and modified within the context of the mobile subscribers in GMTI as shown in Table 1. The questionnaire also contained respondents’ demographic data: gender, age, education, income, marital status, and whether customer has ported their mobile number or not.</w:t>
      </w:r>
    </w:p>
    <w:p w:rsidR="0066666C" w:rsidRDefault="0066666C" w:rsidP="00280587">
      <w:pPr>
        <w:pStyle w:val="NoSpacing"/>
        <w:spacing w:line="276" w:lineRule="auto"/>
        <w:jc w:val="both"/>
        <w:rPr>
          <w:rFonts w:ascii="Times New Roman"/>
          <w:b/>
          <w:sz w:val="20"/>
          <w:szCs w:val="24"/>
        </w:rPr>
      </w:pPr>
    </w:p>
    <w:p w:rsidR="00A374FE" w:rsidRPr="001D01CA" w:rsidRDefault="00A374FE" w:rsidP="00280587">
      <w:pPr>
        <w:pStyle w:val="NoSpacing"/>
        <w:spacing w:line="276" w:lineRule="auto"/>
        <w:jc w:val="both"/>
        <w:rPr>
          <w:rFonts w:ascii="Times New Roman"/>
          <w:b/>
          <w:sz w:val="24"/>
          <w:szCs w:val="24"/>
        </w:rPr>
      </w:pPr>
      <w:r w:rsidRPr="001D01CA">
        <w:rPr>
          <w:rFonts w:ascii="Times New Roman"/>
          <w:b/>
          <w:sz w:val="24"/>
          <w:szCs w:val="24"/>
        </w:rPr>
        <w:t>Data analysis</w:t>
      </w:r>
      <w:r w:rsidR="00D015A5" w:rsidRPr="001D01CA">
        <w:rPr>
          <w:rFonts w:ascii="Times New Roman"/>
          <w:b/>
          <w:sz w:val="24"/>
          <w:szCs w:val="24"/>
        </w:rPr>
        <w:t xml:space="preserve"> methods</w:t>
      </w:r>
    </w:p>
    <w:p w:rsidR="0006307C" w:rsidRPr="00280587" w:rsidRDefault="001B7B18" w:rsidP="00280587">
      <w:pPr>
        <w:pStyle w:val="NoSpacing"/>
        <w:spacing w:line="276" w:lineRule="auto"/>
        <w:jc w:val="both"/>
        <w:rPr>
          <w:rFonts w:ascii="Times New Roman"/>
          <w:sz w:val="20"/>
          <w:szCs w:val="24"/>
        </w:rPr>
        <w:sectPr w:rsidR="0006307C" w:rsidRPr="00280587" w:rsidSect="007341B9">
          <w:pgSz w:w="12240" w:h="15840"/>
          <w:pgMar w:top="1440" w:right="1440" w:bottom="1440" w:left="1440" w:header="720" w:footer="720" w:gutter="0"/>
          <w:cols w:space="720"/>
          <w:docGrid w:linePitch="326"/>
        </w:sectPr>
      </w:pPr>
      <w:r w:rsidRPr="00280587">
        <w:rPr>
          <w:rFonts w:ascii="Times New Roman"/>
          <w:sz w:val="20"/>
          <w:szCs w:val="24"/>
        </w:rPr>
        <w:t xml:space="preserve">A descriptive analysis was conducted </w:t>
      </w:r>
      <w:r w:rsidR="00D015A5" w:rsidRPr="00280587">
        <w:rPr>
          <w:rFonts w:ascii="Times New Roman"/>
          <w:sz w:val="20"/>
          <w:szCs w:val="24"/>
        </w:rPr>
        <w:t xml:space="preserve">using SPSS 16.0 </w:t>
      </w:r>
      <w:r w:rsidRPr="00280587">
        <w:rPr>
          <w:rFonts w:ascii="Times New Roman"/>
          <w:sz w:val="20"/>
          <w:szCs w:val="24"/>
        </w:rPr>
        <w:t xml:space="preserve">to </w:t>
      </w:r>
      <w:proofErr w:type="spellStart"/>
      <w:r w:rsidRPr="00280587">
        <w:rPr>
          <w:rFonts w:ascii="Times New Roman"/>
          <w:sz w:val="20"/>
          <w:szCs w:val="24"/>
        </w:rPr>
        <w:t>analyse</w:t>
      </w:r>
      <w:proofErr w:type="spellEnd"/>
      <w:r w:rsidRPr="00280587">
        <w:rPr>
          <w:rFonts w:ascii="Times New Roman"/>
          <w:sz w:val="20"/>
          <w:szCs w:val="24"/>
        </w:rPr>
        <w:t xml:space="preserve"> the </w:t>
      </w:r>
      <w:r w:rsidR="00D02C9E" w:rsidRPr="00280587">
        <w:rPr>
          <w:rFonts w:ascii="Times New Roman"/>
          <w:sz w:val="20"/>
          <w:szCs w:val="24"/>
        </w:rPr>
        <w:t>mean ranking of each o</w:t>
      </w:r>
      <w:r w:rsidR="00402070" w:rsidRPr="00280587">
        <w:rPr>
          <w:rFonts w:ascii="Times New Roman"/>
          <w:sz w:val="20"/>
          <w:szCs w:val="24"/>
        </w:rPr>
        <w:t xml:space="preserve">f the consumer </w:t>
      </w:r>
      <w:proofErr w:type="spellStart"/>
      <w:r w:rsidR="00402070" w:rsidRPr="00280587">
        <w:rPr>
          <w:rFonts w:ascii="Times New Roman"/>
          <w:sz w:val="20"/>
          <w:szCs w:val="24"/>
        </w:rPr>
        <w:t>behaviour</w:t>
      </w:r>
      <w:proofErr w:type="spellEnd"/>
      <w:r w:rsidR="00402070" w:rsidRPr="00280587">
        <w:rPr>
          <w:rFonts w:ascii="Times New Roman"/>
          <w:sz w:val="20"/>
          <w:szCs w:val="24"/>
        </w:rPr>
        <w:t xml:space="preserve"> aspects</w:t>
      </w:r>
      <w:r w:rsidR="00D02C9E" w:rsidRPr="00280587">
        <w:rPr>
          <w:rFonts w:ascii="Times New Roman"/>
          <w:sz w:val="20"/>
          <w:szCs w:val="24"/>
        </w:rPr>
        <w:t xml:space="preserve"> in the research model</w:t>
      </w:r>
      <w:r w:rsidR="00D015A5" w:rsidRPr="00280587">
        <w:rPr>
          <w:rFonts w:ascii="Times New Roman"/>
          <w:sz w:val="20"/>
          <w:szCs w:val="24"/>
        </w:rPr>
        <w:t xml:space="preserve">. </w:t>
      </w:r>
      <w:r w:rsidR="003C46B5" w:rsidRPr="00280587">
        <w:rPr>
          <w:rFonts w:ascii="Times New Roman"/>
          <w:sz w:val="20"/>
          <w:szCs w:val="24"/>
        </w:rPr>
        <w:t xml:space="preserve">Secondly, a non-parametric </w:t>
      </w:r>
      <w:proofErr w:type="spellStart"/>
      <w:r w:rsidR="003C46B5" w:rsidRPr="00280587">
        <w:rPr>
          <w:rFonts w:ascii="Times New Roman"/>
          <w:sz w:val="20"/>
          <w:szCs w:val="24"/>
        </w:rPr>
        <w:t>Kruskal</w:t>
      </w:r>
      <w:proofErr w:type="spellEnd"/>
      <w:r w:rsidR="003C46B5" w:rsidRPr="00280587">
        <w:rPr>
          <w:rFonts w:ascii="Times New Roman"/>
          <w:sz w:val="20"/>
          <w:szCs w:val="24"/>
        </w:rPr>
        <w:t xml:space="preserve">-Wallis Analysis of variance (ANOVA) was conducted to test the difference in consumer </w:t>
      </w:r>
      <w:proofErr w:type="spellStart"/>
      <w:r w:rsidR="003C46B5" w:rsidRPr="00280587">
        <w:rPr>
          <w:rFonts w:ascii="Times New Roman"/>
          <w:sz w:val="20"/>
          <w:szCs w:val="24"/>
        </w:rPr>
        <w:t>behaviour</w:t>
      </w:r>
      <w:proofErr w:type="spellEnd"/>
      <w:r w:rsidR="003C46B5" w:rsidRPr="00280587">
        <w:rPr>
          <w:rFonts w:ascii="Times New Roman"/>
          <w:sz w:val="20"/>
          <w:szCs w:val="24"/>
        </w:rPr>
        <w:t xml:space="preserve"> towards MNP policy</w:t>
      </w:r>
      <w:r w:rsidR="00402070" w:rsidRPr="00280587">
        <w:rPr>
          <w:rFonts w:ascii="Times New Roman"/>
          <w:sz w:val="20"/>
          <w:szCs w:val="24"/>
        </w:rPr>
        <w:t xml:space="preserve"> among demographic groups</w:t>
      </w:r>
      <w:r w:rsidR="003C46B5" w:rsidRPr="00280587">
        <w:rPr>
          <w:rFonts w:ascii="Times New Roman"/>
          <w:sz w:val="20"/>
          <w:szCs w:val="24"/>
        </w:rPr>
        <w:t xml:space="preserve">. The results of the descriptive and K-Wallis ANOVA are presented in Table </w:t>
      </w:r>
      <w:r w:rsidR="00E9390A" w:rsidRPr="00280587">
        <w:rPr>
          <w:rFonts w:ascii="Times New Roman"/>
          <w:sz w:val="20"/>
          <w:szCs w:val="24"/>
        </w:rPr>
        <w:t>2</w:t>
      </w:r>
      <w:r w:rsidR="003C46B5" w:rsidRPr="00280587">
        <w:rPr>
          <w:rFonts w:ascii="Times New Roman"/>
          <w:sz w:val="20"/>
          <w:szCs w:val="24"/>
        </w:rPr>
        <w:t xml:space="preserve">. </w:t>
      </w:r>
    </w:p>
    <w:p w:rsidR="007341B9" w:rsidRDefault="007341B9" w:rsidP="00A374FE">
      <w:pPr>
        <w:pStyle w:val="NoSpacing"/>
        <w:jc w:val="both"/>
        <w:rPr>
          <w:rFonts w:ascii="Times New Roman"/>
          <w:sz w:val="24"/>
          <w:szCs w:val="24"/>
        </w:rPr>
        <w:sectPr w:rsidR="007341B9" w:rsidSect="000B7014">
          <w:type w:val="continuous"/>
          <w:pgSz w:w="12240" w:h="15840"/>
          <w:pgMar w:top="1440" w:right="1440" w:bottom="1440" w:left="1440" w:header="720" w:footer="720" w:gutter="0"/>
          <w:cols w:space="720"/>
          <w:docGrid w:linePitch="326"/>
        </w:sectPr>
      </w:pPr>
    </w:p>
    <w:p w:rsidR="007341B9" w:rsidRPr="00FE7297" w:rsidRDefault="007341B9" w:rsidP="007341B9">
      <w:pPr>
        <w:spacing w:after="80" w:line="240" w:lineRule="exact"/>
        <w:rPr>
          <w:iCs/>
          <w:sz w:val="20"/>
          <w:szCs w:val="20"/>
        </w:rPr>
      </w:pPr>
      <w:r w:rsidRPr="00FE7297">
        <w:rPr>
          <w:sz w:val="20"/>
          <w:szCs w:val="20"/>
        </w:rPr>
        <w:lastRenderedPageBreak/>
        <w:t>Table 1</w:t>
      </w:r>
      <w:r>
        <w:rPr>
          <w:rFonts w:hint="eastAsia"/>
          <w:sz w:val="20"/>
          <w:szCs w:val="20"/>
        </w:rPr>
        <w:t>.</w:t>
      </w:r>
      <w:r w:rsidRPr="00FE7297">
        <w:rPr>
          <w:sz w:val="20"/>
          <w:szCs w:val="20"/>
        </w:rPr>
        <w:t xml:space="preserve"> Constructs and measurement items</w:t>
      </w:r>
    </w:p>
    <w:tbl>
      <w:tblPr>
        <w:tblpPr w:leftFromText="180" w:rightFromText="180" w:vertAnchor="text" w:horzAnchor="margin" w:tblpXSpec="center" w:tblpY="73"/>
        <w:tblW w:w="5171" w:type="pct"/>
        <w:tblBorders>
          <w:top w:val="single" w:sz="4" w:space="0" w:color="auto"/>
          <w:bottom w:val="single" w:sz="4" w:space="0" w:color="auto"/>
        </w:tblBorders>
        <w:tblLayout w:type="fixed"/>
        <w:tblLook w:val="04A0" w:firstRow="1" w:lastRow="0" w:firstColumn="1" w:lastColumn="0" w:noHBand="0" w:noVBand="1"/>
      </w:tblPr>
      <w:tblGrid>
        <w:gridCol w:w="1711"/>
        <w:gridCol w:w="989"/>
        <w:gridCol w:w="8465"/>
        <w:gridCol w:w="2238"/>
      </w:tblGrid>
      <w:tr w:rsidR="007341B9" w:rsidRPr="00920B12" w:rsidTr="001D01CA">
        <w:tc>
          <w:tcPr>
            <w:tcW w:w="638" w:type="pct"/>
            <w:tcBorders>
              <w:top w:val="single" w:sz="4" w:space="0" w:color="auto"/>
              <w:bottom w:val="single" w:sz="4" w:space="0" w:color="auto"/>
            </w:tcBorders>
            <w:shd w:val="clear" w:color="auto" w:fill="auto"/>
          </w:tcPr>
          <w:p w:rsidR="007341B9" w:rsidRPr="00920B12" w:rsidRDefault="007341B9" w:rsidP="001D01CA">
            <w:pPr>
              <w:spacing w:line="240" w:lineRule="exact"/>
              <w:rPr>
                <w:rFonts w:eastAsia="Calibri"/>
                <w:b/>
                <w:sz w:val="16"/>
                <w:szCs w:val="16"/>
                <w:lang w:val="en-GB"/>
              </w:rPr>
            </w:pPr>
            <w:r w:rsidRPr="00920B12">
              <w:rPr>
                <w:rFonts w:eastAsia="Calibri"/>
                <w:b/>
                <w:sz w:val="16"/>
                <w:szCs w:val="16"/>
                <w:lang w:val="en-GB"/>
              </w:rPr>
              <w:t>Constructs</w:t>
            </w:r>
          </w:p>
        </w:tc>
        <w:tc>
          <w:tcPr>
            <w:tcW w:w="369" w:type="pct"/>
            <w:tcBorders>
              <w:top w:val="single" w:sz="4" w:space="0" w:color="auto"/>
              <w:bottom w:val="single" w:sz="4" w:space="0" w:color="auto"/>
            </w:tcBorders>
            <w:shd w:val="clear" w:color="auto" w:fill="auto"/>
          </w:tcPr>
          <w:p w:rsidR="007341B9" w:rsidRPr="00920B12" w:rsidRDefault="007341B9" w:rsidP="001D01CA">
            <w:pPr>
              <w:spacing w:line="240" w:lineRule="exact"/>
              <w:rPr>
                <w:rFonts w:eastAsia="Calibri"/>
                <w:b/>
                <w:sz w:val="16"/>
                <w:szCs w:val="16"/>
                <w:lang w:val="en-GB"/>
              </w:rPr>
            </w:pPr>
            <w:r w:rsidRPr="00920B12">
              <w:rPr>
                <w:rFonts w:eastAsia="Calibri"/>
                <w:b/>
                <w:sz w:val="16"/>
                <w:szCs w:val="16"/>
                <w:lang w:val="en-GB"/>
              </w:rPr>
              <w:t>Code</w:t>
            </w:r>
          </w:p>
        </w:tc>
        <w:tc>
          <w:tcPr>
            <w:tcW w:w="3158" w:type="pct"/>
            <w:tcBorders>
              <w:top w:val="single" w:sz="4" w:space="0" w:color="auto"/>
              <w:bottom w:val="single" w:sz="4" w:space="0" w:color="auto"/>
            </w:tcBorders>
            <w:shd w:val="clear" w:color="auto" w:fill="auto"/>
          </w:tcPr>
          <w:p w:rsidR="007341B9" w:rsidRPr="00920B12" w:rsidRDefault="007341B9" w:rsidP="001D01CA">
            <w:pPr>
              <w:spacing w:line="240" w:lineRule="exact"/>
              <w:rPr>
                <w:rFonts w:eastAsia="Calibri"/>
                <w:b/>
                <w:sz w:val="16"/>
                <w:szCs w:val="16"/>
                <w:lang w:val="en-GB"/>
              </w:rPr>
            </w:pPr>
            <w:r w:rsidRPr="00920B12">
              <w:rPr>
                <w:rFonts w:eastAsia="Calibri"/>
                <w:b/>
                <w:sz w:val="16"/>
                <w:szCs w:val="16"/>
                <w:lang w:val="en-GB"/>
              </w:rPr>
              <w:t>Measurement items</w:t>
            </w:r>
          </w:p>
        </w:tc>
        <w:tc>
          <w:tcPr>
            <w:tcW w:w="835" w:type="pct"/>
            <w:tcBorders>
              <w:top w:val="single" w:sz="4" w:space="0" w:color="auto"/>
              <w:bottom w:val="single" w:sz="4" w:space="0" w:color="auto"/>
            </w:tcBorders>
            <w:shd w:val="clear" w:color="auto" w:fill="auto"/>
          </w:tcPr>
          <w:p w:rsidR="007341B9" w:rsidRPr="00920B12" w:rsidRDefault="007341B9" w:rsidP="001D01CA">
            <w:pPr>
              <w:spacing w:line="240" w:lineRule="exact"/>
              <w:rPr>
                <w:rFonts w:eastAsia="Calibri"/>
                <w:b/>
                <w:sz w:val="16"/>
                <w:szCs w:val="16"/>
                <w:lang w:val="en-GB"/>
              </w:rPr>
            </w:pPr>
            <w:r w:rsidRPr="00920B12">
              <w:rPr>
                <w:rFonts w:eastAsia="Calibri"/>
                <w:b/>
                <w:sz w:val="16"/>
                <w:szCs w:val="16"/>
                <w:lang w:val="en-GB"/>
              </w:rPr>
              <w:t>Source</w:t>
            </w:r>
          </w:p>
        </w:tc>
      </w:tr>
      <w:tr w:rsidR="007341B9" w:rsidRPr="00920B12" w:rsidTr="001D01CA">
        <w:tc>
          <w:tcPr>
            <w:tcW w:w="638" w:type="pct"/>
            <w:vMerge w:val="restart"/>
            <w:tcBorders>
              <w:top w:val="single" w:sz="4" w:space="0" w:color="auto"/>
            </w:tcBorders>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Knowledge of MNP </w:t>
            </w:r>
          </w:p>
        </w:tc>
        <w:tc>
          <w:tcPr>
            <w:tcW w:w="369" w:type="pct"/>
            <w:tcBorders>
              <w:top w:val="single" w:sz="4" w:space="0" w:color="auto"/>
            </w:tcBorders>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KNMNP1</w:t>
            </w:r>
          </w:p>
        </w:tc>
        <w:tc>
          <w:tcPr>
            <w:tcW w:w="3158" w:type="pct"/>
            <w:tcBorders>
              <w:top w:val="single" w:sz="4" w:space="0" w:color="auto"/>
            </w:tcBorders>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How much knowledge do you have about the mobile number portability (MNP) policy</w:t>
            </w:r>
            <w:r>
              <w:rPr>
                <w:rFonts w:eastAsia="Calibri"/>
                <w:sz w:val="16"/>
                <w:szCs w:val="16"/>
                <w:lang w:val="en-GB"/>
              </w:rPr>
              <w:t xml:space="preserve"> </w:t>
            </w:r>
            <w:r w:rsidRPr="00920B12">
              <w:rPr>
                <w:rFonts w:eastAsia="Calibri"/>
                <w:sz w:val="16"/>
                <w:szCs w:val="16"/>
                <w:lang w:val="en-GB"/>
              </w:rPr>
              <w:t>by which you can</w:t>
            </w:r>
            <w:r>
              <w:rPr>
                <w:rFonts w:eastAsia="Calibri"/>
                <w:sz w:val="16"/>
                <w:szCs w:val="16"/>
                <w:lang w:val="en-GB"/>
              </w:rPr>
              <w:t xml:space="preserve"> switch to ….</w:t>
            </w:r>
            <w:r w:rsidRPr="00920B12">
              <w:rPr>
                <w:rFonts w:eastAsia="Calibri"/>
                <w:sz w:val="16"/>
                <w:szCs w:val="16"/>
                <w:lang w:val="en-GB"/>
              </w:rPr>
              <w:t>?</w:t>
            </w:r>
          </w:p>
        </w:tc>
        <w:tc>
          <w:tcPr>
            <w:tcW w:w="835" w:type="pct"/>
            <w:vMerge w:val="restart"/>
            <w:tcBorders>
              <w:top w:val="single" w:sz="4" w:space="0" w:color="auto"/>
            </w:tcBorders>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Developed based on Cordell (1997); Roger (2003).</w:t>
            </w: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KNMNP2</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To what extent do you really understand how the whole MNP works?</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vMerge w:val="restar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Perceived Usefulness of MNP </w:t>
            </w: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PUMNP1</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To what extent do you think the MNP is useful a policy? </w:t>
            </w:r>
          </w:p>
        </w:tc>
        <w:tc>
          <w:tcPr>
            <w:tcW w:w="835" w:type="pct"/>
            <w:vMerge w:val="restar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Davis et al</w:t>
            </w:r>
            <w:r>
              <w:rPr>
                <w:rFonts w:hint="eastAsia"/>
                <w:sz w:val="16"/>
                <w:szCs w:val="16"/>
                <w:lang w:val="en-GB"/>
              </w:rPr>
              <w:t>.</w:t>
            </w:r>
            <w:r w:rsidRPr="00920B12">
              <w:rPr>
                <w:rFonts w:eastAsia="Calibri"/>
                <w:sz w:val="16"/>
                <w:szCs w:val="16"/>
                <w:lang w:val="en-GB"/>
              </w:rPr>
              <w:t xml:space="preserve"> (1989); </w:t>
            </w:r>
            <w:proofErr w:type="spellStart"/>
            <w:r w:rsidRPr="00920B12">
              <w:rPr>
                <w:rFonts w:eastAsia="Calibri"/>
                <w:sz w:val="16"/>
                <w:szCs w:val="16"/>
                <w:lang w:val="en-GB"/>
              </w:rPr>
              <w:t>Legris</w:t>
            </w:r>
            <w:proofErr w:type="spellEnd"/>
            <w:r w:rsidRPr="00920B12">
              <w:rPr>
                <w:rFonts w:eastAsia="Calibri"/>
                <w:sz w:val="16"/>
                <w:szCs w:val="16"/>
                <w:lang w:val="en-GB"/>
              </w:rPr>
              <w:t xml:space="preserve"> et al</w:t>
            </w:r>
            <w:r>
              <w:rPr>
                <w:rFonts w:hint="eastAsia"/>
                <w:sz w:val="16"/>
                <w:szCs w:val="16"/>
                <w:lang w:val="en-GB"/>
              </w:rPr>
              <w:t>.</w:t>
            </w:r>
            <w:r w:rsidRPr="00920B12">
              <w:rPr>
                <w:rFonts w:eastAsia="Calibri"/>
                <w:sz w:val="16"/>
                <w:szCs w:val="16"/>
                <w:lang w:val="en-GB"/>
              </w:rPr>
              <w:t xml:space="preserve"> (2004)</w:t>
            </w: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PUMNP2</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To what extent do you think the MNP will benefit you? </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vMerge w:val="restar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Attitude towards MNP </w:t>
            </w: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ATTMNP1</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I think the idea of MNP policy is …….</w:t>
            </w:r>
          </w:p>
        </w:tc>
        <w:tc>
          <w:tcPr>
            <w:tcW w:w="835" w:type="pct"/>
            <w:vMerge w:val="restart"/>
            <w:shd w:val="clear" w:color="auto" w:fill="auto"/>
          </w:tcPr>
          <w:p w:rsidR="007341B9" w:rsidRPr="00920B12" w:rsidRDefault="007341B9" w:rsidP="001D01CA">
            <w:pPr>
              <w:spacing w:line="240" w:lineRule="exact"/>
              <w:rPr>
                <w:rFonts w:eastAsia="Calibri"/>
                <w:sz w:val="16"/>
                <w:szCs w:val="16"/>
                <w:lang w:val="en-GB"/>
              </w:rPr>
            </w:pPr>
            <w:r>
              <w:rPr>
                <w:rFonts w:eastAsia="Calibri"/>
                <w:sz w:val="16"/>
                <w:szCs w:val="16"/>
                <w:lang w:val="en-GB"/>
              </w:rPr>
              <w:t>Developed based on Lee</w:t>
            </w:r>
            <w:r w:rsidRPr="00920B12">
              <w:rPr>
                <w:rFonts w:eastAsia="Calibri"/>
                <w:sz w:val="16"/>
                <w:szCs w:val="16"/>
                <w:lang w:val="en-GB"/>
              </w:rPr>
              <w:t xml:space="preserve"> et al. (2005); Park</w:t>
            </w:r>
            <w:r>
              <w:rPr>
                <w:rFonts w:hint="eastAsia"/>
                <w:sz w:val="16"/>
                <w:szCs w:val="16"/>
                <w:lang w:val="en-GB"/>
              </w:rPr>
              <w:t xml:space="preserve"> </w:t>
            </w:r>
            <w:r w:rsidRPr="00920B12">
              <w:rPr>
                <w:rFonts w:eastAsia="Calibri"/>
                <w:sz w:val="16"/>
                <w:szCs w:val="16"/>
                <w:lang w:val="en-GB"/>
              </w:rPr>
              <w:t>(2009)</w:t>
            </w: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ATTMNP2</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I believe adopting the MNP policy is …</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ATTMNP3</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Generally I have positive attitude towards the MNP policy.</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vMerge w:val="restar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MNP-induced Self- Efficacy </w:t>
            </w: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MNPSEF1</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The Mobile Number Portability policy (MNP) can help me to switch easily to use other mobile network services in Ghana</w:t>
            </w:r>
          </w:p>
        </w:tc>
        <w:tc>
          <w:tcPr>
            <w:tcW w:w="835" w:type="pct"/>
            <w:vMerge w:val="restart"/>
            <w:shd w:val="clear" w:color="auto" w:fill="auto"/>
          </w:tcPr>
          <w:p w:rsidR="007341B9" w:rsidRPr="00920B12" w:rsidRDefault="007341B9" w:rsidP="001D01CA">
            <w:pPr>
              <w:spacing w:line="240" w:lineRule="exact"/>
              <w:rPr>
                <w:rFonts w:eastAsia="Calibri"/>
                <w:sz w:val="16"/>
                <w:szCs w:val="16"/>
                <w:lang w:val="en-GB"/>
              </w:rPr>
            </w:pPr>
            <w:r>
              <w:rPr>
                <w:rFonts w:eastAsia="Calibri"/>
                <w:sz w:val="16"/>
                <w:szCs w:val="16"/>
                <w:lang w:val="en-GB"/>
              </w:rPr>
              <w:t xml:space="preserve">Developed based on </w:t>
            </w:r>
            <w:proofErr w:type="spellStart"/>
            <w:r>
              <w:rPr>
                <w:rFonts w:eastAsia="Calibri"/>
                <w:sz w:val="16"/>
                <w:szCs w:val="16"/>
                <w:lang w:val="en-GB"/>
              </w:rPr>
              <w:t>Ajzen</w:t>
            </w:r>
            <w:proofErr w:type="spellEnd"/>
            <w:r w:rsidRPr="00920B12">
              <w:rPr>
                <w:rFonts w:eastAsia="Calibri"/>
                <w:sz w:val="16"/>
                <w:szCs w:val="16"/>
                <w:lang w:val="en-GB"/>
              </w:rPr>
              <w:t xml:space="preserve"> (1991); </w:t>
            </w:r>
            <w:proofErr w:type="spellStart"/>
            <w:r w:rsidRPr="00920B12">
              <w:rPr>
                <w:rFonts w:eastAsia="Calibri"/>
                <w:sz w:val="16"/>
                <w:szCs w:val="16"/>
                <w:lang w:val="en-GB"/>
              </w:rPr>
              <w:t>Ajzen</w:t>
            </w:r>
            <w:proofErr w:type="spellEnd"/>
            <w:r w:rsidRPr="00920B12">
              <w:rPr>
                <w:rFonts w:eastAsia="Calibri"/>
                <w:sz w:val="16"/>
                <w:szCs w:val="16"/>
                <w:lang w:val="en-GB"/>
              </w:rPr>
              <w:t xml:space="preserve"> </w:t>
            </w:r>
            <w:r>
              <w:rPr>
                <w:rFonts w:hint="eastAsia"/>
                <w:sz w:val="16"/>
                <w:szCs w:val="16"/>
                <w:lang w:val="en-GB"/>
              </w:rPr>
              <w:t>and</w:t>
            </w:r>
            <w:r>
              <w:rPr>
                <w:rFonts w:eastAsia="Calibri"/>
                <w:sz w:val="16"/>
                <w:szCs w:val="16"/>
                <w:lang w:val="en-GB"/>
              </w:rPr>
              <w:t xml:space="preserve"> </w:t>
            </w:r>
            <w:proofErr w:type="spellStart"/>
            <w:r>
              <w:rPr>
                <w:rFonts w:eastAsia="Calibri"/>
                <w:sz w:val="16"/>
                <w:szCs w:val="16"/>
                <w:lang w:val="en-GB"/>
              </w:rPr>
              <w:t>Fishbein</w:t>
            </w:r>
            <w:proofErr w:type="spellEnd"/>
            <w:r w:rsidRPr="00920B12">
              <w:rPr>
                <w:rFonts w:eastAsia="Calibri"/>
                <w:sz w:val="16"/>
                <w:szCs w:val="16"/>
                <w:lang w:val="en-GB"/>
              </w:rPr>
              <w:t xml:space="preserve"> (2000, 2005). </w:t>
            </w: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MNPSEF2</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I belief that in Ghana, with the MNP, now I have every opportunity to switch to any mobile telecom network I like.</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MNPSEF3</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I belief that with the MNP, I can easily switch to any mobile network I like.</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Porting </w:t>
            </w:r>
            <w:r>
              <w:rPr>
                <w:rFonts w:eastAsia="Calibri"/>
                <w:sz w:val="16"/>
                <w:szCs w:val="16"/>
                <w:lang w:val="en-GB"/>
              </w:rPr>
              <w:t>time</w:t>
            </w: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PPC1</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To what extent do you think the process of porting your mobile number is time consuming?</w:t>
            </w:r>
          </w:p>
        </w:tc>
        <w:tc>
          <w:tcPr>
            <w:tcW w:w="835"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 </w:t>
            </w:r>
            <w:proofErr w:type="spellStart"/>
            <w:r w:rsidRPr="00920B12">
              <w:rPr>
                <w:rFonts w:eastAsia="Calibri"/>
                <w:sz w:val="16"/>
                <w:szCs w:val="16"/>
                <w:lang w:val="en-GB"/>
              </w:rPr>
              <w:t>Gans</w:t>
            </w:r>
            <w:proofErr w:type="spellEnd"/>
            <w:r w:rsidRPr="00920B12">
              <w:rPr>
                <w:rFonts w:eastAsia="Calibri"/>
                <w:sz w:val="16"/>
                <w:szCs w:val="16"/>
                <w:lang w:val="en-GB"/>
              </w:rPr>
              <w:t xml:space="preserve"> </w:t>
            </w:r>
            <w:r>
              <w:rPr>
                <w:rFonts w:hint="eastAsia"/>
                <w:sz w:val="16"/>
                <w:szCs w:val="16"/>
                <w:lang w:val="en-GB"/>
              </w:rPr>
              <w:t>and</w:t>
            </w:r>
            <w:r w:rsidRPr="00920B12">
              <w:rPr>
                <w:rFonts w:eastAsia="Calibri"/>
                <w:sz w:val="16"/>
                <w:szCs w:val="16"/>
                <w:lang w:val="en-GB"/>
              </w:rPr>
              <w:t xml:space="preserve"> </w:t>
            </w:r>
            <w:r>
              <w:rPr>
                <w:rFonts w:eastAsia="Calibri"/>
                <w:sz w:val="16"/>
                <w:szCs w:val="16"/>
                <w:lang w:val="en-GB"/>
              </w:rPr>
              <w:t>King (2000);</w:t>
            </w:r>
          </w:p>
        </w:tc>
      </w:tr>
      <w:tr w:rsidR="007341B9" w:rsidRPr="00920B12" w:rsidTr="001D01CA">
        <w:tc>
          <w:tcPr>
            <w:tcW w:w="638" w:type="pct"/>
            <w:vMerge w:val="restar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 xml:space="preserve">Attitude towards switching </w:t>
            </w: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ATTSW1</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For me switching from one mobile network to another is …</w:t>
            </w:r>
          </w:p>
        </w:tc>
        <w:tc>
          <w:tcPr>
            <w:tcW w:w="835" w:type="pct"/>
            <w:vMerge w:val="restart"/>
            <w:shd w:val="clear" w:color="auto" w:fill="auto"/>
          </w:tcPr>
          <w:p w:rsidR="007341B9" w:rsidRPr="00920B12" w:rsidRDefault="007341B9" w:rsidP="001D01CA">
            <w:pPr>
              <w:spacing w:line="240" w:lineRule="exact"/>
              <w:rPr>
                <w:rFonts w:eastAsia="Calibri"/>
                <w:sz w:val="16"/>
                <w:szCs w:val="16"/>
                <w:lang w:val="en-GB"/>
              </w:rPr>
            </w:pPr>
            <w:proofErr w:type="spellStart"/>
            <w:r>
              <w:rPr>
                <w:rFonts w:eastAsia="Calibri"/>
                <w:sz w:val="16"/>
                <w:szCs w:val="16"/>
                <w:lang w:val="en-GB"/>
              </w:rPr>
              <w:t>Venkatesh</w:t>
            </w:r>
            <w:proofErr w:type="spellEnd"/>
            <w:r w:rsidRPr="00920B12">
              <w:rPr>
                <w:rFonts w:eastAsia="Calibri"/>
                <w:sz w:val="16"/>
                <w:szCs w:val="16"/>
                <w:lang w:val="en-GB"/>
              </w:rPr>
              <w:t xml:space="preserve"> et al</w:t>
            </w:r>
            <w:r>
              <w:rPr>
                <w:rFonts w:hint="eastAsia"/>
                <w:sz w:val="16"/>
                <w:szCs w:val="16"/>
                <w:lang w:val="en-GB"/>
              </w:rPr>
              <w:t>.</w:t>
            </w:r>
            <w:r w:rsidRPr="00920B12">
              <w:rPr>
                <w:rFonts w:eastAsia="Calibri"/>
                <w:sz w:val="16"/>
                <w:szCs w:val="16"/>
                <w:lang w:val="en-GB"/>
              </w:rPr>
              <w:t xml:space="preserve"> (2012); </w:t>
            </w:r>
            <w:proofErr w:type="spellStart"/>
            <w:r w:rsidRPr="00920B12">
              <w:rPr>
                <w:rFonts w:eastAsia="Calibri"/>
                <w:sz w:val="16"/>
                <w:szCs w:val="16"/>
                <w:lang w:val="en-GB"/>
              </w:rPr>
              <w:t>Ajzen</w:t>
            </w:r>
            <w:proofErr w:type="spellEnd"/>
            <w:r w:rsidRPr="00920B12">
              <w:rPr>
                <w:rFonts w:eastAsia="Calibri"/>
                <w:sz w:val="16"/>
                <w:szCs w:val="16"/>
                <w:lang w:val="en-GB"/>
              </w:rPr>
              <w:t xml:space="preserve"> </w:t>
            </w:r>
            <w:r>
              <w:rPr>
                <w:rFonts w:hint="eastAsia"/>
                <w:sz w:val="16"/>
                <w:szCs w:val="16"/>
                <w:lang w:val="en-GB"/>
              </w:rPr>
              <w:t>and</w:t>
            </w:r>
            <w:r>
              <w:rPr>
                <w:rFonts w:eastAsia="Calibri"/>
                <w:sz w:val="16"/>
                <w:szCs w:val="16"/>
                <w:lang w:val="en-GB"/>
              </w:rPr>
              <w:t xml:space="preserve"> </w:t>
            </w:r>
            <w:proofErr w:type="spellStart"/>
            <w:r>
              <w:rPr>
                <w:rFonts w:eastAsia="Calibri"/>
                <w:sz w:val="16"/>
                <w:szCs w:val="16"/>
                <w:lang w:val="en-GB"/>
              </w:rPr>
              <w:t>Fishbein</w:t>
            </w:r>
            <w:proofErr w:type="spellEnd"/>
            <w:r w:rsidRPr="00920B12">
              <w:rPr>
                <w:rFonts w:eastAsia="Calibri"/>
                <w:sz w:val="16"/>
                <w:szCs w:val="16"/>
                <w:lang w:val="en-GB"/>
              </w:rPr>
              <w:t xml:space="preserve"> (2000, 2005) etc.</w:t>
            </w: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ATTSW2</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For me changing from one network to another is a decision that is……</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r w:rsidR="007341B9" w:rsidRPr="00920B12" w:rsidTr="001D01CA">
        <w:tc>
          <w:tcPr>
            <w:tcW w:w="638" w:type="pct"/>
            <w:vMerge/>
            <w:shd w:val="clear" w:color="auto" w:fill="auto"/>
          </w:tcPr>
          <w:p w:rsidR="007341B9" w:rsidRPr="00920B12" w:rsidRDefault="007341B9" w:rsidP="001D01CA">
            <w:pPr>
              <w:spacing w:line="240" w:lineRule="exact"/>
              <w:rPr>
                <w:rFonts w:eastAsia="Calibri"/>
                <w:sz w:val="16"/>
                <w:szCs w:val="16"/>
                <w:lang w:val="en-GB"/>
              </w:rPr>
            </w:pPr>
          </w:p>
        </w:tc>
        <w:tc>
          <w:tcPr>
            <w:tcW w:w="369"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ATTSW3</w:t>
            </w:r>
          </w:p>
        </w:tc>
        <w:tc>
          <w:tcPr>
            <w:tcW w:w="3158" w:type="pct"/>
            <w:shd w:val="clear" w:color="auto" w:fill="auto"/>
          </w:tcPr>
          <w:p w:rsidR="007341B9" w:rsidRPr="00920B12" w:rsidRDefault="007341B9" w:rsidP="001D01CA">
            <w:pPr>
              <w:spacing w:line="240" w:lineRule="exact"/>
              <w:rPr>
                <w:rFonts w:eastAsia="Calibri"/>
                <w:sz w:val="16"/>
                <w:szCs w:val="16"/>
                <w:lang w:val="en-GB"/>
              </w:rPr>
            </w:pPr>
            <w:r w:rsidRPr="00920B12">
              <w:rPr>
                <w:rFonts w:eastAsia="Calibri"/>
                <w:sz w:val="16"/>
                <w:szCs w:val="16"/>
                <w:lang w:val="en-GB"/>
              </w:rPr>
              <w:t>The idea of changing from one mobile network to another is to me a …… attitude.</w:t>
            </w:r>
          </w:p>
        </w:tc>
        <w:tc>
          <w:tcPr>
            <w:tcW w:w="835" w:type="pct"/>
            <w:vMerge/>
            <w:shd w:val="clear" w:color="auto" w:fill="auto"/>
          </w:tcPr>
          <w:p w:rsidR="007341B9" w:rsidRPr="00920B12" w:rsidRDefault="007341B9" w:rsidP="001D01CA">
            <w:pPr>
              <w:spacing w:line="240" w:lineRule="exact"/>
              <w:rPr>
                <w:rFonts w:eastAsia="Calibri"/>
                <w:sz w:val="16"/>
                <w:szCs w:val="16"/>
                <w:lang w:val="en-GB"/>
              </w:rPr>
            </w:pPr>
          </w:p>
        </w:tc>
      </w:tr>
    </w:tbl>
    <w:p w:rsidR="007341B9" w:rsidRPr="00FE7297" w:rsidRDefault="007341B9" w:rsidP="007341B9">
      <w:pPr>
        <w:spacing w:after="80" w:line="240" w:lineRule="exact"/>
        <w:rPr>
          <w:sz w:val="20"/>
          <w:szCs w:val="20"/>
        </w:rPr>
      </w:pPr>
    </w:p>
    <w:p w:rsidR="007341B9" w:rsidRPr="00DA663E" w:rsidRDefault="007341B9" w:rsidP="007341B9">
      <w:pPr>
        <w:spacing w:after="80" w:line="240" w:lineRule="exact"/>
        <w:rPr>
          <w:iCs/>
          <w:sz w:val="20"/>
          <w:szCs w:val="20"/>
        </w:rPr>
      </w:pPr>
      <w:r>
        <w:rPr>
          <w:sz w:val="20"/>
          <w:szCs w:val="20"/>
        </w:rPr>
        <w:t>Table 2</w:t>
      </w:r>
      <w:r>
        <w:rPr>
          <w:rFonts w:hint="eastAsia"/>
          <w:sz w:val="20"/>
          <w:szCs w:val="20"/>
        </w:rPr>
        <w:t>.</w:t>
      </w:r>
      <w:r>
        <w:rPr>
          <w:sz w:val="20"/>
          <w:szCs w:val="20"/>
        </w:rPr>
        <w:t xml:space="preserve"> Consumer </w:t>
      </w:r>
      <w:proofErr w:type="spellStart"/>
      <w:r>
        <w:rPr>
          <w:sz w:val="20"/>
          <w:szCs w:val="20"/>
        </w:rPr>
        <w:t>behaviour</w:t>
      </w:r>
      <w:proofErr w:type="spellEnd"/>
      <w:r>
        <w:rPr>
          <w:sz w:val="20"/>
          <w:szCs w:val="20"/>
        </w:rPr>
        <w:t xml:space="preserve"> towards MNP and influence of demography</w:t>
      </w:r>
    </w:p>
    <w:tbl>
      <w:tblPr>
        <w:tblW w:w="12775" w:type="dxa"/>
        <w:jc w:val="center"/>
        <w:tblBorders>
          <w:top w:val="single" w:sz="4" w:space="0" w:color="auto"/>
          <w:bottom w:val="single" w:sz="4" w:space="0" w:color="auto"/>
        </w:tblBorders>
        <w:tblLayout w:type="fixed"/>
        <w:tblLook w:val="04A0" w:firstRow="1" w:lastRow="0" w:firstColumn="1" w:lastColumn="0" w:noHBand="0" w:noVBand="1"/>
      </w:tblPr>
      <w:tblGrid>
        <w:gridCol w:w="2880"/>
        <w:gridCol w:w="720"/>
        <w:gridCol w:w="720"/>
        <w:gridCol w:w="916"/>
        <w:gridCol w:w="711"/>
        <w:gridCol w:w="746"/>
        <w:gridCol w:w="777"/>
        <w:gridCol w:w="720"/>
        <w:gridCol w:w="810"/>
        <w:gridCol w:w="715"/>
        <w:gridCol w:w="810"/>
        <w:gridCol w:w="720"/>
        <w:gridCol w:w="720"/>
        <w:gridCol w:w="810"/>
      </w:tblGrid>
      <w:tr w:rsidR="007341B9" w:rsidRPr="00CF0A72" w:rsidTr="001D01CA">
        <w:trPr>
          <w:cantSplit/>
          <w:trHeight w:val="238"/>
          <w:jc w:val="center"/>
        </w:trPr>
        <w:tc>
          <w:tcPr>
            <w:tcW w:w="2880" w:type="dxa"/>
            <w:tcBorders>
              <w:top w:val="single" w:sz="4" w:space="0" w:color="auto"/>
              <w:bottom w:val="nil"/>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sz w:val="16"/>
                <w:szCs w:val="16"/>
                <w:bdr w:val="none" w:sz="0" w:space="0" w:color="auto"/>
                <w:lang w:val="en-GB" w:eastAsia="en-GB"/>
              </w:rPr>
            </w:pPr>
          </w:p>
        </w:tc>
        <w:tc>
          <w:tcPr>
            <w:tcW w:w="720" w:type="dxa"/>
            <w:tcBorders>
              <w:top w:val="single" w:sz="4" w:space="0" w:color="auto"/>
              <w:bottom w:val="nil"/>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16"/>
                <w:szCs w:val="16"/>
                <w:bdr w:val="none" w:sz="0" w:space="0" w:color="auto"/>
                <w:lang w:val="en-GB" w:eastAsia="en-GB"/>
              </w:rPr>
            </w:pPr>
          </w:p>
        </w:tc>
        <w:tc>
          <w:tcPr>
            <w:tcW w:w="720" w:type="dxa"/>
            <w:tcBorders>
              <w:top w:val="single" w:sz="4" w:space="0" w:color="auto"/>
              <w:bottom w:val="nil"/>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16"/>
                <w:szCs w:val="16"/>
                <w:bdr w:val="none" w:sz="0" w:space="0" w:color="auto"/>
                <w:lang w:val="en-GB" w:eastAsia="en-GB"/>
              </w:rPr>
            </w:pPr>
          </w:p>
        </w:tc>
        <w:tc>
          <w:tcPr>
            <w:tcW w:w="916" w:type="dxa"/>
            <w:tcBorders>
              <w:top w:val="single" w:sz="4" w:space="0" w:color="auto"/>
              <w:bottom w:val="nil"/>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16"/>
                <w:szCs w:val="16"/>
                <w:bdr w:val="none" w:sz="0" w:space="0" w:color="auto"/>
                <w:lang w:val="en-GB" w:eastAsia="en-GB"/>
              </w:rPr>
            </w:pPr>
          </w:p>
        </w:tc>
        <w:tc>
          <w:tcPr>
            <w:tcW w:w="7539" w:type="dxa"/>
            <w:gridSpan w:val="10"/>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proofErr w:type="spellStart"/>
            <w:r w:rsidRPr="00CF0A72">
              <w:rPr>
                <w:rFonts w:eastAsia="Times New Roman"/>
                <w:b/>
                <w:color w:val="000000"/>
                <w:sz w:val="16"/>
                <w:szCs w:val="16"/>
                <w:bdr w:val="none" w:sz="0" w:space="0" w:color="auto"/>
                <w:lang w:val="en-GB" w:eastAsia="en-GB"/>
              </w:rPr>
              <w:t>Kruskal</w:t>
            </w:r>
            <w:proofErr w:type="spellEnd"/>
            <w:r w:rsidRPr="00CF0A72">
              <w:rPr>
                <w:rFonts w:eastAsia="Times New Roman"/>
                <w:b/>
                <w:color w:val="000000"/>
                <w:sz w:val="16"/>
                <w:szCs w:val="16"/>
                <w:bdr w:val="none" w:sz="0" w:space="0" w:color="auto"/>
                <w:lang w:val="en-GB" w:eastAsia="en-GB"/>
              </w:rPr>
              <w:t>-Wallis ANOVA for test of differences among sub-groups</w:t>
            </w:r>
          </w:p>
        </w:tc>
      </w:tr>
      <w:tr w:rsidR="007341B9" w:rsidRPr="00CF0A72" w:rsidTr="001D01CA">
        <w:trPr>
          <w:cantSplit/>
          <w:trHeight w:val="238"/>
          <w:jc w:val="center"/>
        </w:trPr>
        <w:tc>
          <w:tcPr>
            <w:tcW w:w="2880" w:type="dxa"/>
            <w:tcBorders>
              <w:top w:val="nil"/>
              <w:bottom w:val="nil"/>
            </w:tcBorders>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sz w:val="16"/>
                <w:szCs w:val="16"/>
                <w:bdr w:val="none" w:sz="0" w:space="0" w:color="auto"/>
                <w:lang w:val="en-GB" w:eastAsia="en-GB"/>
              </w:rPr>
            </w:pPr>
          </w:p>
        </w:tc>
        <w:tc>
          <w:tcPr>
            <w:tcW w:w="720" w:type="dxa"/>
            <w:tcBorders>
              <w:top w:val="nil"/>
              <w:bottom w:val="nil"/>
            </w:tcBorders>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16"/>
                <w:szCs w:val="16"/>
                <w:bdr w:val="none" w:sz="0" w:space="0" w:color="auto"/>
                <w:lang w:val="en-GB" w:eastAsia="en-GB"/>
              </w:rPr>
            </w:pPr>
          </w:p>
        </w:tc>
        <w:tc>
          <w:tcPr>
            <w:tcW w:w="720" w:type="dxa"/>
            <w:tcBorders>
              <w:top w:val="nil"/>
              <w:bottom w:val="nil"/>
            </w:tcBorders>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16"/>
                <w:szCs w:val="16"/>
                <w:bdr w:val="none" w:sz="0" w:space="0" w:color="auto"/>
                <w:lang w:val="en-GB" w:eastAsia="en-GB"/>
              </w:rPr>
            </w:pPr>
          </w:p>
        </w:tc>
        <w:tc>
          <w:tcPr>
            <w:tcW w:w="916" w:type="dxa"/>
            <w:tcBorders>
              <w:top w:val="nil"/>
              <w:bottom w:val="nil"/>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16"/>
                <w:szCs w:val="16"/>
                <w:bdr w:val="none" w:sz="0" w:space="0" w:color="auto"/>
                <w:lang w:val="en-GB" w:eastAsia="en-GB"/>
              </w:rPr>
            </w:pPr>
          </w:p>
        </w:tc>
        <w:tc>
          <w:tcPr>
            <w:tcW w:w="1457" w:type="dxa"/>
            <w:gridSpan w:val="2"/>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Gender</w:t>
            </w:r>
          </w:p>
        </w:tc>
        <w:tc>
          <w:tcPr>
            <w:tcW w:w="1497" w:type="dxa"/>
            <w:gridSpan w:val="2"/>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Age</w:t>
            </w:r>
          </w:p>
        </w:tc>
        <w:tc>
          <w:tcPr>
            <w:tcW w:w="1525" w:type="dxa"/>
            <w:gridSpan w:val="2"/>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Education</w:t>
            </w:r>
          </w:p>
        </w:tc>
        <w:tc>
          <w:tcPr>
            <w:tcW w:w="1530" w:type="dxa"/>
            <w:gridSpan w:val="2"/>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Income</w:t>
            </w:r>
          </w:p>
        </w:tc>
        <w:tc>
          <w:tcPr>
            <w:tcW w:w="1530" w:type="dxa"/>
            <w:gridSpan w:val="2"/>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Marital status</w:t>
            </w:r>
          </w:p>
        </w:tc>
      </w:tr>
      <w:tr w:rsidR="007341B9" w:rsidRPr="00CF0A72" w:rsidTr="001D01CA">
        <w:trPr>
          <w:cantSplit/>
          <w:trHeight w:val="238"/>
          <w:jc w:val="center"/>
        </w:trPr>
        <w:tc>
          <w:tcPr>
            <w:tcW w:w="2880" w:type="dxa"/>
            <w:tcBorders>
              <w:top w:val="nil"/>
              <w:bottom w:val="single" w:sz="4" w:space="0" w:color="auto"/>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Pr>
                <w:rFonts w:eastAsia="Times New Roman"/>
                <w:b/>
                <w:sz w:val="16"/>
                <w:szCs w:val="16"/>
                <w:bdr w:val="none" w:sz="0" w:space="0" w:color="auto"/>
                <w:lang w:val="en-GB" w:eastAsia="en-GB"/>
              </w:rPr>
              <w:t>Consumer behaviour aspects</w:t>
            </w:r>
          </w:p>
        </w:tc>
        <w:tc>
          <w:tcPr>
            <w:tcW w:w="720" w:type="dxa"/>
            <w:tcBorders>
              <w:top w:val="nil"/>
              <w:bottom w:val="single" w:sz="4" w:space="0" w:color="auto"/>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Mean</w:t>
            </w:r>
          </w:p>
        </w:tc>
        <w:tc>
          <w:tcPr>
            <w:tcW w:w="720" w:type="dxa"/>
            <w:tcBorders>
              <w:top w:val="nil"/>
              <w:bottom w:val="single" w:sz="4" w:space="0" w:color="auto"/>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proofErr w:type="spellStart"/>
            <w:r w:rsidRPr="00CF0A72">
              <w:rPr>
                <w:rFonts w:eastAsia="Times New Roman"/>
                <w:b/>
                <w:color w:val="000000"/>
                <w:sz w:val="16"/>
                <w:szCs w:val="16"/>
                <w:bdr w:val="none" w:sz="0" w:space="0" w:color="auto"/>
                <w:lang w:val="en-GB" w:eastAsia="en-GB"/>
              </w:rPr>
              <w:t>Std.D</w:t>
            </w:r>
            <w:proofErr w:type="spellEnd"/>
            <w:r w:rsidRPr="00CF0A72">
              <w:rPr>
                <w:rFonts w:eastAsia="Times New Roman"/>
                <w:b/>
                <w:color w:val="000000"/>
                <w:sz w:val="16"/>
                <w:szCs w:val="16"/>
                <w:bdr w:val="none" w:sz="0" w:space="0" w:color="auto"/>
                <w:lang w:val="en-GB" w:eastAsia="en-GB"/>
              </w:rPr>
              <w:t>.</w:t>
            </w:r>
          </w:p>
        </w:tc>
        <w:tc>
          <w:tcPr>
            <w:tcW w:w="916" w:type="dxa"/>
            <w:tcBorders>
              <w:top w:val="nil"/>
              <w:bottom w:val="single" w:sz="4" w:space="0" w:color="auto"/>
            </w:tcBorders>
          </w:tcPr>
          <w:p w:rsidR="007341B9"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color w:val="000000"/>
                <w:sz w:val="16"/>
                <w:szCs w:val="16"/>
                <w:bdr w:val="none" w:sz="0" w:space="0" w:color="auto"/>
                <w:lang w:val="en-GB" w:eastAsia="en-GB"/>
              </w:rPr>
            </w:pP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r w:rsidRPr="00CF0A72">
              <w:rPr>
                <w:rFonts w:eastAsia="Times New Roman"/>
                <w:b/>
                <w:color w:val="000000"/>
                <w:sz w:val="16"/>
                <w:szCs w:val="16"/>
                <w:bdr w:val="none" w:sz="0" w:space="0" w:color="auto"/>
                <w:lang w:val="en-GB" w:eastAsia="en-GB"/>
              </w:rPr>
              <w:t>Remarks</w:t>
            </w:r>
          </w:p>
        </w:tc>
        <w:tc>
          <w:tcPr>
            <w:tcW w:w="711"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Male, </w:t>
            </w: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n = 498</w:t>
            </w:r>
          </w:p>
        </w:tc>
        <w:tc>
          <w:tcPr>
            <w:tcW w:w="746"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Female n =238</w:t>
            </w:r>
          </w:p>
        </w:tc>
        <w:tc>
          <w:tcPr>
            <w:tcW w:w="777"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YON, n.= 525</w:t>
            </w:r>
          </w:p>
        </w:tc>
        <w:tc>
          <w:tcPr>
            <w:tcW w:w="720"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OLD, </w:t>
            </w: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n = 211</w:t>
            </w:r>
          </w:p>
        </w:tc>
        <w:tc>
          <w:tcPr>
            <w:tcW w:w="810"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LED, </w:t>
            </w: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n = 304</w:t>
            </w:r>
          </w:p>
        </w:tc>
        <w:tc>
          <w:tcPr>
            <w:tcW w:w="715"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HED, </w:t>
            </w: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n = 432</w:t>
            </w:r>
          </w:p>
        </w:tc>
        <w:tc>
          <w:tcPr>
            <w:tcW w:w="810"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LY, </w:t>
            </w: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n =  365</w:t>
            </w:r>
          </w:p>
        </w:tc>
        <w:tc>
          <w:tcPr>
            <w:tcW w:w="720"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HY, </w:t>
            </w:r>
          </w:p>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n = 371</w:t>
            </w:r>
          </w:p>
        </w:tc>
        <w:tc>
          <w:tcPr>
            <w:tcW w:w="720" w:type="dxa"/>
            <w:tcBorders>
              <w:top w:val="single" w:sz="4" w:space="0" w:color="auto"/>
              <w:bottom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SING </w:t>
            </w:r>
          </w:p>
          <w:p w:rsidR="007341B9" w:rsidRPr="00CF0A72" w:rsidRDefault="007341B9" w:rsidP="00A421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n = </w:t>
            </w:r>
            <w:r w:rsidR="00A4219F">
              <w:rPr>
                <w:rFonts w:eastAsia="Times New Roman"/>
                <w:color w:val="000000"/>
                <w:sz w:val="16"/>
                <w:szCs w:val="16"/>
                <w:bdr w:val="none" w:sz="0" w:space="0" w:color="auto"/>
                <w:lang w:val="en-GB" w:eastAsia="en-GB"/>
              </w:rPr>
              <w:t>265</w:t>
            </w:r>
          </w:p>
        </w:tc>
        <w:tc>
          <w:tcPr>
            <w:tcW w:w="810" w:type="dxa"/>
            <w:tcBorders>
              <w:top w:val="single" w:sz="4" w:space="0" w:color="auto"/>
              <w:bottom w:val="single" w:sz="4" w:space="0" w:color="auto"/>
            </w:tcBorders>
          </w:tcPr>
          <w:p w:rsidR="007341B9"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MAR, </w:t>
            </w:r>
          </w:p>
          <w:p w:rsidR="007341B9" w:rsidRPr="00CF0A72" w:rsidRDefault="007341B9" w:rsidP="00A421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n = </w:t>
            </w:r>
            <w:r w:rsidR="00A4219F" w:rsidRPr="00CF0A72">
              <w:rPr>
                <w:rFonts w:eastAsia="Times New Roman"/>
                <w:color w:val="000000"/>
                <w:sz w:val="16"/>
                <w:szCs w:val="16"/>
                <w:bdr w:val="none" w:sz="0" w:space="0" w:color="auto"/>
                <w:lang w:val="en-GB" w:eastAsia="en-GB"/>
              </w:rPr>
              <w:t>454</w:t>
            </w:r>
          </w:p>
        </w:tc>
      </w:tr>
      <w:tr w:rsidR="007341B9" w:rsidRPr="00CF0A72" w:rsidTr="001D01CA">
        <w:trPr>
          <w:cantSplit/>
          <w:trHeight w:val="238"/>
          <w:jc w:val="center"/>
        </w:trPr>
        <w:tc>
          <w:tcPr>
            <w:tcW w:w="2880" w:type="dxa"/>
            <w:tcBorders>
              <w:top w:val="single" w:sz="4" w:space="0" w:color="auto"/>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Knowledge of MNP</w:t>
            </w:r>
          </w:p>
        </w:tc>
        <w:tc>
          <w:tcPr>
            <w:tcW w:w="720" w:type="dxa"/>
            <w:tcBorders>
              <w:top w:val="single" w:sz="4" w:space="0" w:color="auto"/>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3.37</w:t>
            </w:r>
          </w:p>
        </w:tc>
        <w:tc>
          <w:tcPr>
            <w:tcW w:w="720" w:type="dxa"/>
            <w:tcBorders>
              <w:top w:val="single" w:sz="4" w:space="0" w:color="auto"/>
            </w:tcBorders>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1.26</w:t>
            </w:r>
          </w:p>
        </w:tc>
        <w:tc>
          <w:tcPr>
            <w:tcW w:w="916" w:type="dxa"/>
            <w:tcBorders>
              <w:top w:val="single" w:sz="4" w:space="0" w:color="auto"/>
            </w:tcBorders>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Low</w:t>
            </w:r>
          </w:p>
        </w:tc>
        <w:tc>
          <w:tcPr>
            <w:tcW w:w="711"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348.62</w:t>
            </w:r>
          </w:p>
        </w:tc>
        <w:tc>
          <w:tcPr>
            <w:tcW w:w="746"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410.09</w:t>
            </w:r>
          </w:p>
        </w:tc>
        <w:tc>
          <w:tcPr>
            <w:tcW w:w="777"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358.50</w:t>
            </w:r>
          </w:p>
        </w:tc>
        <w:tc>
          <w:tcPr>
            <w:tcW w:w="720"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393.38</w:t>
            </w:r>
          </w:p>
        </w:tc>
        <w:tc>
          <w:tcPr>
            <w:tcW w:w="810"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344.13</w:t>
            </w:r>
          </w:p>
        </w:tc>
        <w:tc>
          <w:tcPr>
            <w:tcW w:w="715"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403.13</w:t>
            </w:r>
          </w:p>
        </w:tc>
        <w:tc>
          <w:tcPr>
            <w:tcW w:w="810"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382.00</w:t>
            </w:r>
          </w:p>
        </w:tc>
        <w:tc>
          <w:tcPr>
            <w:tcW w:w="720"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355.22</w:t>
            </w:r>
          </w:p>
        </w:tc>
        <w:tc>
          <w:tcPr>
            <w:tcW w:w="720"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356.16</w:t>
            </w:r>
          </w:p>
        </w:tc>
        <w:tc>
          <w:tcPr>
            <w:tcW w:w="810" w:type="dxa"/>
            <w:tcBorders>
              <w:top w:val="single" w:sz="4" w:space="0" w:color="auto"/>
            </w:tcBorders>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367.90</w:t>
            </w:r>
          </w:p>
        </w:tc>
      </w:tr>
      <w:tr w:rsidR="007341B9" w:rsidRPr="00CF0A72" w:rsidTr="001D01CA">
        <w:trPr>
          <w:cantSplit/>
          <w:trHeight w:val="238"/>
          <w:jc w:val="center"/>
        </w:trPr>
        <w:tc>
          <w:tcPr>
            <w:tcW w:w="288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916" w:type="dxa"/>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13.863</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0.00</w:t>
            </w:r>
            <w:r>
              <w:rPr>
                <w:rFonts w:eastAsia="Times New Roman"/>
                <w:color w:val="000000"/>
                <w:sz w:val="16"/>
                <w:szCs w:val="16"/>
                <w:bdr w:val="none" w:sz="0" w:space="0" w:color="auto"/>
                <w:lang w:val="en-GB" w:eastAsia="en-GB"/>
              </w:rPr>
              <w:t>0</w:t>
            </w:r>
            <w:r w:rsidRPr="00CF0A72">
              <w:rPr>
                <w:rFonts w:eastAsia="Times New Roman"/>
                <w:color w:val="000000"/>
                <w:sz w:val="16"/>
                <w:szCs w:val="16"/>
                <w:bdr w:val="none" w:sz="0" w:space="0" w:color="auto"/>
                <w:lang w:val="en-GB" w:eastAsia="en-GB"/>
              </w:rPr>
              <w:t>*</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4.171</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0.041*</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14.156</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0.000*</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3.007</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0.671</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0.551</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0.458</w:t>
            </w:r>
          </w:p>
        </w:tc>
      </w:tr>
      <w:tr w:rsidR="007341B9" w:rsidRPr="00CF0A72" w:rsidTr="001D01CA">
        <w:trPr>
          <w:cantSplit/>
          <w:trHeight w:val="238"/>
          <w:jc w:val="center"/>
        </w:trPr>
        <w:tc>
          <w:tcPr>
            <w:tcW w:w="288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MNP switching efficacy</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2.31</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1.08</w:t>
            </w:r>
          </w:p>
        </w:tc>
        <w:tc>
          <w:tcPr>
            <w:tcW w:w="916" w:type="dxa"/>
          </w:tcPr>
          <w:p w:rsidR="007341B9" w:rsidRPr="00CF0A72" w:rsidRDefault="007341B9" w:rsidP="001D01CA">
            <w:pPr>
              <w:jc w:val="cente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Low</w:t>
            </w: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354.09</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398.66</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358.33</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393.80</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378.68</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361.34</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388.32</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349.00</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348.16</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381.56</w:t>
            </w:r>
          </w:p>
        </w:tc>
      </w:tr>
      <w:tr w:rsidR="007341B9" w:rsidRPr="00CF0A72" w:rsidTr="001D01CA">
        <w:trPr>
          <w:cantSplit/>
          <w:trHeight w:val="238"/>
          <w:jc w:val="center"/>
        </w:trPr>
        <w:tc>
          <w:tcPr>
            <w:tcW w:w="288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916" w:type="dxa"/>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7.402</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0.007*</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4.381</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0.036*</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1.242</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0.265</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6.582</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0.010*</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4.528</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 xml:space="preserve">Sig. </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0.033*</w:t>
            </w:r>
          </w:p>
        </w:tc>
      </w:tr>
      <w:tr w:rsidR="007341B9" w:rsidRPr="00CF0A72" w:rsidTr="001D01CA">
        <w:trPr>
          <w:cantSplit/>
          <w:trHeight w:val="238"/>
          <w:jc w:val="center"/>
        </w:trPr>
        <w:tc>
          <w:tcPr>
            <w:tcW w:w="288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Attitude towards MNP </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2.30</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0.87</w:t>
            </w:r>
          </w:p>
        </w:tc>
        <w:tc>
          <w:tcPr>
            <w:tcW w:w="916" w:type="dxa"/>
          </w:tcPr>
          <w:p w:rsidR="007341B9" w:rsidRPr="00CF0A72" w:rsidRDefault="007341B9" w:rsidP="001D01CA">
            <w:pPr>
              <w:jc w:val="cente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Low</w:t>
            </w: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356.94</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392.68</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361.44</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386.07</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366.83</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369.68</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381.64</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355.57</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356.62</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367.13</w:t>
            </w:r>
          </w:p>
        </w:tc>
      </w:tr>
      <w:tr w:rsidR="007341B9" w:rsidRPr="00CF0A72" w:rsidTr="001D01CA">
        <w:trPr>
          <w:cantSplit/>
          <w:trHeight w:val="238"/>
          <w:jc w:val="center"/>
        </w:trPr>
        <w:tc>
          <w:tcPr>
            <w:tcW w:w="288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916" w:type="dxa"/>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4.697</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0.030*</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2.085</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0.149</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0.033</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 = 0.856</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2.854</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0.091</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0.442</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0.506</w:t>
            </w:r>
          </w:p>
        </w:tc>
      </w:tr>
      <w:tr w:rsidR="007341B9" w:rsidRPr="00CF0A72" w:rsidTr="001D01CA">
        <w:trPr>
          <w:cantSplit/>
          <w:trHeight w:val="238"/>
          <w:jc w:val="center"/>
        </w:trPr>
        <w:tc>
          <w:tcPr>
            <w:tcW w:w="288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Perceived usefulness of MNP policy</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2.11</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1.12</w:t>
            </w:r>
          </w:p>
        </w:tc>
        <w:tc>
          <w:tcPr>
            <w:tcW w:w="916" w:type="dxa"/>
          </w:tcPr>
          <w:p w:rsidR="007341B9" w:rsidRPr="00CF0A72" w:rsidRDefault="007341B9" w:rsidP="001D01CA">
            <w:pPr>
              <w:jc w:val="cente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Low</w:t>
            </w: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347.46</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412.53</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367.15</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371.86</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357.44</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376.28</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376.67</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360.46</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366.31</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350.59</w:t>
            </w:r>
          </w:p>
        </w:tc>
      </w:tr>
      <w:tr w:rsidR="007341B9" w:rsidRPr="00CF0A72" w:rsidTr="001D01CA">
        <w:trPr>
          <w:cantSplit/>
          <w:trHeight w:val="238"/>
          <w:jc w:val="center"/>
        </w:trPr>
        <w:tc>
          <w:tcPr>
            <w:tcW w:w="288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p>
        </w:tc>
        <w:tc>
          <w:tcPr>
            <w:tcW w:w="916" w:type="dxa"/>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16"/>
                <w:szCs w:val="16"/>
                <w:bdr w:val="none" w:sz="0" w:space="0" w:color="auto"/>
                <w:lang w:val="en-GB" w:eastAsia="en-GB"/>
              </w:rPr>
            </w:pP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15.857</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0.000*</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0.078</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0.780</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1.474</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0.225</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1.124</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0.289</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1.007</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0.316</w:t>
            </w:r>
          </w:p>
        </w:tc>
      </w:tr>
      <w:tr w:rsidR="007341B9" w:rsidRPr="00CF0A72" w:rsidTr="001D01CA">
        <w:trPr>
          <w:cantSplit/>
          <w:trHeight w:val="238"/>
          <w:jc w:val="center"/>
        </w:trPr>
        <w:tc>
          <w:tcPr>
            <w:tcW w:w="288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 xml:space="preserve">Perceived porting time cost of MNP </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3.171</w:t>
            </w:r>
          </w:p>
        </w:tc>
        <w:tc>
          <w:tcPr>
            <w:tcW w:w="720" w:type="dxa"/>
            <w:shd w:val="clear" w:color="auto" w:fill="auto"/>
            <w:noWrap/>
            <w:vAlign w:val="bottom"/>
            <w:hideMark/>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1.23</w:t>
            </w:r>
          </w:p>
        </w:tc>
        <w:tc>
          <w:tcPr>
            <w:tcW w:w="916" w:type="dxa"/>
          </w:tcPr>
          <w:p w:rsidR="007341B9" w:rsidRPr="00CF0A72" w:rsidRDefault="007341B9" w:rsidP="001D01CA">
            <w:pPr>
              <w:jc w:val="center"/>
              <w:rPr>
                <w:rFonts w:eastAsia="Times New Roman"/>
                <w:color w:val="000000"/>
                <w:sz w:val="16"/>
                <w:szCs w:val="16"/>
                <w:bdr w:val="none" w:sz="0" w:space="0" w:color="auto"/>
                <w:lang w:val="en-GB" w:eastAsia="en-GB"/>
              </w:rPr>
            </w:pPr>
            <w:r w:rsidRPr="00CF0A72">
              <w:rPr>
                <w:rFonts w:eastAsia="Times New Roman"/>
                <w:color w:val="000000"/>
                <w:sz w:val="16"/>
                <w:szCs w:val="16"/>
                <w:bdr w:val="none" w:sz="0" w:space="0" w:color="auto"/>
                <w:lang w:val="en-GB" w:eastAsia="en-GB"/>
              </w:rPr>
              <w:t>High</w:t>
            </w: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376.20</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352.39</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359.49</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390.91</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370.79</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366.89</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362.22</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374.68</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350.25</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377.99</w:t>
            </w:r>
          </w:p>
        </w:tc>
      </w:tr>
      <w:tr w:rsidR="007341B9" w:rsidRPr="005C0B89" w:rsidTr="001D01CA">
        <w:trPr>
          <w:cantSplit/>
          <w:trHeight w:val="238"/>
          <w:jc w:val="center"/>
        </w:trPr>
        <w:tc>
          <w:tcPr>
            <w:tcW w:w="288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720" w:type="dxa"/>
            <w:shd w:val="clear" w:color="auto" w:fill="auto"/>
            <w:noWrap/>
            <w:vAlign w:val="bottom"/>
          </w:tcPr>
          <w:p w:rsidR="007341B9" w:rsidRPr="00CF0A72" w:rsidRDefault="007341B9" w:rsidP="001D01C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olor w:val="000000"/>
                <w:sz w:val="16"/>
                <w:szCs w:val="16"/>
                <w:bdr w:val="none" w:sz="0" w:space="0" w:color="auto"/>
                <w:lang w:val="en-GB" w:eastAsia="en-GB"/>
              </w:rPr>
            </w:pPr>
          </w:p>
        </w:tc>
        <w:tc>
          <w:tcPr>
            <w:tcW w:w="916" w:type="dxa"/>
          </w:tcPr>
          <w:p w:rsidR="007341B9" w:rsidRPr="00CF0A72" w:rsidRDefault="007341B9" w:rsidP="001D01CA">
            <w:pPr>
              <w:jc w:val="center"/>
              <w:rPr>
                <w:rFonts w:eastAsia="Times New Roman"/>
                <w:color w:val="000000"/>
                <w:sz w:val="16"/>
                <w:szCs w:val="16"/>
                <w:bdr w:val="none" w:sz="0" w:space="0" w:color="auto"/>
                <w:lang w:val="en-GB" w:eastAsia="en-GB"/>
              </w:rPr>
            </w:pPr>
          </w:p>
        </w:tc>
        <w:tc>
          <w:tcPr>
            <w:tcW w:w="711"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2.141</w:t>
            </w:r>
          </w:p>
        </w:tc>
        <w:tc>
          <w:tcPr>
            <w:tcW w:w="746"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0.143</w:t>
            </w:r>
          </w:p>
        </w:tc>
        <w:tc>
          <w:tcPr>
            <w:tcW w:w="777"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3.484</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 0.062</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0.064</w:t>
            </w:r>
          </w:p>
        </w:tc>
        <w:tc>
          <w:tcPr>
            <w:tcW w:w="715"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0.801</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0.671</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Sign.</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0.413</w:t>
            </w:r>
          </w:p>
        </w:tc>
        <w:tc>
          <w:tcPr>
            <w:tcW w:w="72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X</w:t>
            </w:r>
            <w:r w:rsidRPr="00CF0A72">
              <w:rPr>
                <w:rFonts w:eastAsia="Times New Roman"/>
                <w:color w:val="000000"/>
                <w:sz w:val="16"/>
                <w:szCs w:val="16"/>
                <w:bdr w:val="none" w:sz="0" w:space="0" w:color="auto"/>
                <w:vertAlign w:val="superscript"/>
                <w:lang w:val="en-GB" w:eastAsia="en-GB"/>
              </w:rPr>
              <w:t xml:space="preserve">2  </w:t>
            </w:r>
            <w:r w:rsidRPr="00CF0A72">
              <w:rPr>
                <w:rFonts w:eastAsia="Times New Roman"/>
                <w:color w:val="000000"/>
                <w:sz w:val="16"/>
                <w:szCs w:val="16"/>
                <w:bdr w:val="none" w:sz="0" w:space="0" w:color="auto"/>
                <w:lang w:val="en-GB" w:eastAsia="en-GB"/>
              </w:rPr>
              <w:t>= 0.316</w:t>
            </w:r>
          </w:p>
        </w:tc>
        <w:tc>
          <w:tcPr>
            <w:tcW w:w="810" w:type="dxa"/>
          </w:tcPr>
          <w:p w:rsidR="007341B9" w:rsidRPr="00CF0A72" w:rsidRDefault="007341B9" w:rsidP="001D01CA">
            <w:pPr>
              <w:rPr>
                <w:sz w:val="16"/>
                <w:szCs w:val="16"/>
              </w:rPr>
            </w:pPr>
            <w:r w:rsidRPr="00CF0A72">
              <w:rPr>
                <w:rFonts w:eastAsia="Times New Roman"/>
                <w:color w:val="000000"/>
                <w:sz w:val="16"/>
                <w:szCs w:val="16"/>
                <w:bdr w:val="none" w:sz="0" w:space="0" w:color="auto"/>
                <w:lang w:val="en-GB" w:eastAsia="en-GB"/>
              </w:rPr>
              <w:t>Sig.</w:t>
            </w:r>
            <w:r w:rsidRPr="00CF0A72">
              <w:rPr>
                <w:rFonts w:eastAsia="Times New Roman"/>
                <w:color w:val="000000"/>
                <w:sz w:val="16"/>
                <w:szCs w:val="16"/>
                <w:bdr w:val="none" w:sz="0" w:space="0" w:color="auto"/>
                <w:vertAlign w:val="superscript"/>
                <w:lang w:val="en-GB" w:eastAsia="en-GB"/>
              </w:rPr>
              <w:t xml:space="preserve"> </w:t>
            </w:r>
            <w:r w:rsidRPr="00CF0A72">
              <w:rPr>
                <w:rFonts w:eastAsia="Times New Roman"/>
                <w:color w:val="000000"/>
                <w:sz w:val="16"/>
                <w:szCs w:val="16"/>
                <w:bdr w:val="none" w:sz="0" w:space="0" w:color="auto"/>
                <w:lang w:val="en-GB" w:eastAsia="en-GB"/>
              </w:rPr>
              <w:t>= 0.077</w:t>
            </w:r>
          </w:p>
        </w:tc>
      </w:tr>
    </w:tbl>
    <w:p w:rsidR="007341B9" w:rsidRDefault="007341B9" w:rsidP="007341B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en-GB" w:eastAsia="en-GB"/>
        </w:rPr>
        <w:sectPr w:rsidR="007341B9" w:rsidSect="000B7014">
          <w:pgSz w:w="15840" w:h="12240" w:orient="landscape"/>
          <w:pgMar w:top="1440" w:right="1440" w:bottom="1440" w:left="1440" w:header="720" w:footer="720" w:gutter="0"/>
          <w:cols w:space="720"/>
          <w:docGrid w:linePitch="326"/>
        </w:sectPr>
      </w:pPr>
      <w:r w:rsidRPr="00F61A7B">
        <w:rPr>
          <w:rFonts w:eastAsia="Times New Roman"/>
          <w:color w:val="000000"/>
          <w:sz w:val="18"/>
          <w:szCs w:val="18"/>
          <w:bdr w:val="none" w:sz="0" w:space="0" w:color="auto"/>
          <w:lang w:val="en-GB" w:eastAsia="en-GB"/>
        </w:rPr>
        <w:t>N = 736, scale strongly agree to strongly disagree, coded 1 – 5 respectively</w:t>
      </w:r>
      <w:r>
        <w:rPr>
          <w:rFonts w:eastAsia="Times New Roman"/>
          <w:color w:val="000000"/>
          <w:sz w:val="18"/>
          <w:szCs w:val="18"/>
          <w:bdr w:val="none" w:sz="0" w:space="0" w:color="auto"/>
          <w:lang w:val="en-GB" w:eastAsia="en-GB"/>
        </w:rPr>
        <w:t>, * all p-values are significant at 0.05; all chi-square values have one (1) degree of freedom; young consumers - below 32, old – above 32; low education (LED)– below degree, high education (HED)– degree; low income (LY) – less than GH 500 per month, high income (HY) more than GH 500 per month; Single (SING) – single not married, married (MAR) – married</w:t>
      </w:r>
    </w:p>
    <w:p w:rsidR="00D301F3" w:rsidRDefault="00D301F3" w:rsidP="00991FA5">
      <w:pPr>
        <w:pStyle w:val="NoSpacing"/>
        <w:jc w:val="both"/>
        <w:rPr>
          <w:rFonts w:ascii="Times New Roman" w:hAnsi="Times New Roman" w:cs="Times New Roman"/>
          <w:b/>
          <w:sz w:val="24"/>
        </w:rPr>
        <w:sectPr w:rsidR="00D301F3" w:rsidSect="000B7014">
          <w:headerReference w:type="default" r:id="rId10"/>
          <w:footerReference w:type="default" r:id="rId11"/>
          <w:pgSz w:w="12240" w:h="15840"/>
          <w:pgMar w:top="1440" w:right="1440" w:bottom="1440" w:left="1440" w:header="720" w:footer="720" w:gutter="0"/>
          <w:cols w:space="720"/>
        </w:sectPr>
      </w:pPr>
    </w:p>
    <w:p w:rsidR="00D6000C" w:rsidRPr="001D01CA" w:rsidRDefault="00D6000C" w:rsidP="00280587">
      <w:pPr>
        <w:pStyle w:val="NoSpacing"/>
        <w:spacing w:line="276" w:lineRule="auto"/>
        <w:jc w:val="both"/>
        <w:rPr>
          <w:rFonts w:ascii="Times New Roman" w:hAnsi="Times New Roman" w:cs="Times New Roman"/>
          <w:b/>
          <w:sz w:val="24"/>
          <w:szCs w:val="20"/>
        </w:rPr>
      </w:pPr>
      <w:r w:rsidRPr="001D01CA">
        <w:rPr>
          <w:rFonts w:ascii="Times New Roman" w:hAnsi="Times New Roman" w:cs="Times New Roman"/>
          <w:b/>
          <w:sz w:val="24"/>
          <w:szCs w:val="20"/>
        </w:rPr>
        <w:lastRenderedPageBreak/>
        <w:t>Results</w:t>
      </w:r>
    </w:p>
    <w:p w:rsidR="00923571" w:rsidRPr="001D01CA" w:rsidRDefault="00923571" w:rsidP="00280587">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 xml:space="preserve">Respondents’ background characteristics </w:t>
      </w:r>
    </w:p>
    <w:p w:rsidR="00923571" w:rsidRPr="00923571" w:rsidRDefault="00923571" w:rsidP="00923571">
      <w:pPr>
        <w:pBdr>
          <w:top w:val="none" w:sz="0" w:space="0" w:color="auto"/>
          <w:left w:val="none" w:sz="0" w:space="0" w:color="auto"/>
          <w:bottom w:val="none" w:sz="0" w:space="0" w:color="auto"/>
          <w:right w:val="none" w:sz="0" w:space="0" w:color="auto"/>
        </w:pBdr>
        <w:spacing w:after="80" w:line="276" w:lineRule="auto"/>
        <w:jc w:val="both"/>
        <w:rPr>
          <w:iCs/>
          <w:sz w:val="20"/>
        </w:rPr>
      </w:pPr>
      <w:r w:rsidRPr="00280587">
        <w:rPr>
          <w:iCs/>
          <w:sz w:val="20"/>
        </w:rPr>
        <w:t>For the characteristics of the respondents, in terms of gender, 67.7% of the respondents were males and 32.3% were females. 20.7% of the respondents were below 25 years, 67.3% of them were within the ages of 25-36 years, 11.4% were between 37 and 50 years, and .6% were 50 years and above. This implies that majority of them were in the economically active population. All respondents were educated with about 58.7% of them having tertiary level of education, while about 5% and 33% had Senior High School (SHS) and post-SHS education respectively. About 3% had other forms of education. In terms of income, 33.5% of respondents earned monthly income up to GH¢500, while 43.9% earned between GH¢500 and GH¢1000, about 6.5% earned monthly income above GH¢1000. This indicates that most of them earned considerably low incomes. In terms of marital status, 61.7% of the respondents were married, about 36% were single (not married) and about 2% of them were in other marital category</w:t>
      </w:r>
      <w:r w:rsidR="00002048">
        <w:rPr>
          <w:iCs/>
          <w:sz w:val="20"/>
        </w:rPr>
        <w:t xml:space="preserve"> such as divorced, sep</w:t>
      </w:r>
      <w:r w:rsidR="00A701E3">
        <w:rPr>
          <w:iCs/>
          <w:sz w:val="20"/>
        </w:rPr>
        <w:t>arated widowed, etc</w:t>
      </w:r>
      <w:r w:rsidRPr="00280587">
        <w:rPr>
          <w:iCs/>
          <w:sz w:val="20"/>
        </w:rPr>
        <w:t>.</w:t>
      </w:r>
      <w:r>
        <w:rPr>
          <w:iCs/>
          <w:sz w:val="20"/>
        </w:rPr>
        <w:t xml:space="preserve">  </w:t>
      </w:r>
      <w:r w:rsidRPr="00280587">
        <w:rPr>
          <w:sz w:val="20"/>
          <w:szCs w:val="20"/>
        </w:rPr>
        <w:t xml:space="preserve">The </w:t>
      </w:r>
      <w:r>
        <w:rPr>
          <w:sz w:val="20"/>
          <w:szCs w:val="20"/>
        </w:rPr>
        <w:t xml:space="preserve">rest of the </w:t>
      </w:r>
      <w:r w:rsidRPr="00280587">
        <w:rPr>
          <w:sz w:val="20"/>
          <w:szCs w:val="20"/>
        </w:rPr>
        <w:t>results are presented according the research objectives.</w:t>
      </w:r>
    </w:p>
    <w:p w:rsidR="00923571" w:rsidRPr="00923571" w:rsidRDefault="00923571" w:rsidP="00280587">
      <w:pPr>
        <w:pStyle w:val="NoSpacing"/>
        <w:spacing w:line="276" w:lineRule="auto"/>
        <w:jc w:val="both"/>
        <w:rPr>
          <w:rFonts w:ascii="Times New Roman" w:hAnsi="Times New Roman" w:cs="Times New Roman"/>
          <w:sz w:val="20"/>
          <w:szCs w:val="20"/>
        </w:rPr>
      </w:pPr>
    </w:p>
    <w:p w:rsidR="00D6000C" w:rsidRPr="001D01CA" w:rsidRDefault="00D6000C" w:rsidP="00280587">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R</w:t>
      </w:r>
      <w:r w:rsidR="00A15DCD" w:rsidRPr="001D01CA">
        <w:rPr>
          <w:rFonts w:ascii="Times New Roman" w:hAnsi="Times New Roman" w:cs="Times New Roman"/>
          <w:i/>
          <w:sz w:val="24"/>
          <w:szCs w:val="20"/>
        </w:rPr>
        <w:t xml:space="preserve">esearch objective one: </w:t>
      </w:r>
      <w:r w:rsidRPr="001D01CA">
        <w:rPr>
          <w:rFonts w:ascii="Times New Roman" w:hAnsi="Times New Roman" w:cs="Times New Roman"/>
          <w:i/>
          <w:sz w:val="24"/>
          <w:szCs w:val="20"/>
        </w:rPr>
        <w:t>consumer attitude and perception towards mobile number portability in Ghana</w:t>
      </w:r>
    </w:p>
    <w:p w:rsidR="00D6000C" w:rsidRPr="00280587" w:rsidRDefault="00D6000C"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 xml:space="preserve">The results from Table 1 show that, generally, consumer perception of the perceived porting time is high (mean = 3.1). Due to the measurement scale (see Table 1) for this variable, the mean should be interpreted as disagree. This means considerably most of the respondents perceived the time and effort involved in the porting process to be high. The level of consumer knowledge of MNP is low (mean = 3.71), implying that most of the respondents perceive their level of knowledge and understanding of MNP policy and processes as considerably low.  The consumers’ switching efficacy induced by MNP is low (mean = 2.31), implying that most </w:t>
      </w:r>
      <w:r w:rsidR="00A701E3">
        <w:rPr>
          <w:rFonts w:ascii="Times New Roman" w:hAnsi="Times New Roman" w:cs="Times New Roman"/>
          <w:sz w:val="20"/>
          <w:szCs w:val="20"/>
        </w:rPr>
        <w:t xml:space="preserve">of </w:t>
      </w:r>
      <w:r w:rsidRPr="00280587">
        <w:rPr>
          <w:rFonts w:ascii="Times New Roman" w:hAnsi="Times New Roman" w:cs="Times New Roman"/>
          <w:sz w:val="20"/>
          <w:szCs w:val="20"/>
        </w:rPr>
        <w:t>the respondent</w:t>
      </w:r>
      <w:r w:rsidR="00A701E3">
        <w:rPr>
          <w:rFonts w:ascii="Times New Roman" w:hAnsi="Times New Roman" w:cs="Times New Roman"/>
          <w:sz w:val="20"/>
          <w:szCs w:val="20"/>
        </w:rPr>
        <w:t>s’</w:t>
      </w:r>
      <w:r w:rsidRPr="00280587">
        <w:rPr>
          <w:rFonts w:ascii="Times New Roman" w:hAnsi="Times New Roman" w:cs="Times New Roman"/>
          <w:sz w:val="20"/>
          <w:szCs w:val="20"/>
        </w:rPr>
        <w:t xml:space="preserve"> perception about the fact that they can switch through </w:t>
      </w:r>
      <w:r w:rsidR="00A701E3">
        <w:rPr>
          <w:rFonts w:ascii="Times New Roman" w:hAnsi="Times New Roman" w:cs="Times New Roman"/>
          <w:sz w:val="20"/>
          <w:szCs w:val="20"/>
        </w:rPr>
        <w:t>the MNP platform is considerably</w:t>
      </w:r>
      <w:r w:rsidRPr="00280587">
        <w:rPr>
          <w:rFonts w:ascii="Times New Roman" w:hAnsi="Times New Roman" w:cs="Times New Roman"/>
          <w:sz w:val="20"/>
          <w:szCs w:val="20"/>
        </w:rPr>
        <w:t xml:space="preserve"> low. The results also indicate that perceived usefulness of MNP is low (mean = 2.11), implying that most of the respondents do not perceive MNP innovation as useful to them. Finally, consumers’ attitude towards MNP is considerably </w:t>
      </w:r>
      <w:proofErr w:type="spellStart"/>
      <w:r w:rsidRPr="00280587">
        <w:rPr>
          <w:rFonts w:ascii="Times New Roman" w:hAnsi="Times New Roman" w:cs="Times New Roman"/>
          <w:sz w:val="20"/>
          <w:szCs w:val="20"/>
        </w:rPr>
        <w:t>unfavourable</w:t>
      </w:r>
      <w:proofErr w:type="spellEnd"/>
      <w:r w:rsidRPr="00280587">
        <w:rPr>
          <w:rFonts w:ascii="Times New Roman" w:hAnsi="Times New Roman" w:cs="Times New Roman"/>
          <w:sz w:val="20"/>
          <w:szCs w:val="20"/>
        </w:rPr>
        <w:t xml:space="preserve"> (mean = 2.30).</w:t>
      </w:r>
    </w:p>
    <w:p w:rsidR="00D6000C" w:rsidRPr="00280587" w:rsidRDefault="00D6000C" w:rsidP="00280587">
      <w:pPr>
        <w:pStyle w:val="NoSpacing"/>
        <w:spacing w:line="276" w:lineRule="auto"/>
        <w:jc w:val="both"/>
        <w:rPr>
          <w:rFonts w:ascii="Times New Roman" w:hAnsi="Times New Roman" w:cs="Times New Roman"/>
          <w:sz w:val="20"/>
          <w:szCs w:val="20"/>
        </w:rPr>
      </w:pPr>
    </w:p>
    <w:p w:rsidR="00D6000C" w:rsidRPr="001D01CA" w:rsidRDefault="00D6000C" w:rsidP="00280587">
      <w:pPr>
        <w:pStyle w:val="NoSpacing"/>
        <w:spacing w:line="276" w:lineRule="auto"/>
        <w:jc w:val="both"/>
        <w:rPr>
          <w:rFonts w:ascii="Times New Roman"/>
          <w:i/>
          <w:sz w:val="24"/>
          <w:szCs w:val="20"/>
        </w:rPr>
      </w:pPr>
      <w:r w:rsidRPr="001D01CA">
        <w:rPr>
          <w:rFonts w:ascii="Times New Roman"/>
          <w:i/>
          <w:sz w:val="24"/>
          <w:szCs w:val="20"/>
        </w:rPr>
        <w:t>Research objective two: influence of de</w:t>
      </w:r>
      <w:r w:rsidR="00923571" w:rsidRPr="001D01CA">
        <w:rPr>
          <w:rFonts w:ascii="Times New Roman"/>
          <w:i/>
          <w:sz w:val="24"/>
          <w:szCs w:val="20"/>
        </w:rPr>
        <w:t>mographic factors</w:t>
      </w:r>
    </w:p>
    <w:p w:rsidR="00D6000C" w:rsidRPr="00280587" w:rsidRDefault="00D6000C" w:rsidP="00280587">
      <w:pPr>
        <w:pStyle w:val="NoSpacing"/>
        <w:spacing w:line="276" w:lineRule="auto"/>
        <w:jc w:val="both"/>
        <w:rPr>
          <w:rFonts w:ascii="Times New Roman"/>
          <w:sz w:val="20"/>
          <w:szCs w:val="20"/>
        </w:rPr>
      </w:pPr>
      <w:r w:rsidRPr="00280587">
        <w:rPr>
          <w:rFonts w:ascii="Times New Roman"/>
          <w:sz w:val="20"/>
          <w:szCs w:val="20"/>
        </w:rPr>
        <w:t xml:space="preserve">The results from Table 1 also indicate the, generally, some consumer demographics significantly influence different consumer </w:t>
      </w:r>
      <w:proofErr w:type="spellStart"/>
      <w:r w:rsidRPr="00280587">
        <w:rPr>
          <w:rFonts w:ascii="Times New Roman"/>
          <w:sz w:val="20"/>
          <w:szCs w:val="20"/>
        </w:rPr>
        <w:t>behaviour</w:t>
      </w:r>
      <w:proofErr w:type="spellEnd"/>
      <w:r w:rsidRPr="00280587">
        <w:rPr>
          <w:rFonts w:ascii="Times New Roman"/>
          <w:sz w:val="20"/>
          <w:szCs w:val="20"/>
        </w:rPr>
        <w:t xml:space="preserve"> towards MNP policy in Ghana. Specifically, perceived level of MNP knowledge is influenced by gender, age and education. Specifically more females have more knowledge perception of MNP than males, older responders have more MNP knowledge than younger ones, and in terms of education, </w:t>
      </w:r>
      <w:proofErr w:type="gramStart"/>
      <w:r w:rsidRPr="00280587">
        <w:rPr>
          <w:rFonts w:ascii="Times New Roman"/>
          <w:sz w:val="20"/>
          <w:szCs w:val="20"/>
        </w:rPr>
        <w:t>higher</w:t>
      </w:r>
      <w:proofErr w:type="gramEnd"/>
      <w:r w:rsidRPr="00280587">
        <w:rPr>
          <w:rFonts w:ascii="Times New Roman"/>
          <w:sz w:val="20"/>
          <w:szCs w:val="20"/>
        </w:rPr>
        <w:t xml:space="preserve"> education respondents appear to have more knowledge than lower education.  Switching efficacy is influenced by gender, age, income and marital status. Specifically, females have higher switching efficacy than males, older respondents have higher efficacy than younger ones, lower incomes earners tend to belief they have higher switching efficacy through MNP than high income group, married respondents tend to have higher switching efficacy than singles. Attitude towards switching was influenced by only gender; females rated their attitude towards MNP more </w:t>
      </w:r>
      <w:proofErr w:type="spellStart"/>
      <w:r w:rsidRPr="00280587">
        <w:rPr>
          <w:rFonts w:ascii="Times New Roman"/>
          <w:sz w:val="20"/>
          <w:szCs w:val="20"/>
        </w:rPr>
        <w:t>favourably</w:t>
      </w:r>
      <w:proofErr w:type="spellEnd"/>
      <w:r w:rsidRPr="00280587">
        <w:rPr>
          <w:rFonts w:ascii="Times New Roman"/>
          <w:sz w:val="20"/>
          <w:szCs w:val="20"/>
        </w:rPr>
        <w:t xml:space="preserve"> than their male counterparts. Perceived usefulness of MNP was influenced by only gender; females rated their perceived usefulness of MNP higher than males. Perceived cost of porting time was not influenced by any demographic variable.</w:t>
      </w:r>
    </w:p>
    <w:p w:rsidR="00D6000C" w:rsidRPr="00280587" w:rsidRDefault="00D6000C" w:rsidP="00280587">
      <w:pPr>
        <w:pStyle w:val="NoSpacing"/>
        <w:spacing w:line="276" w:lineRule="auto"/>
        <w:jc w:val="both"/>
        <w:rPr>
          <w:rFonts w:ascii="Times New Roman" w:hAnsi="Times New Roman" w:cs="Times New Roman"/>
          <w:sz w:val="20"/>
          <w:szCs w:val="20"/>
        </w:rPr>
      </w:pPr>
    </w:p>
    <w:p w:rsidR="00D6000C" w:rsidRPr="001D01CA" w:rsidRDefault="00D6000C" w:rsidP="00280587">
      <w:pPr>
        <w:pStyle w:val="NoSpacing"/>
        <w:spacing w:line="276" w:lineRule="auto"/>
        <w:jc w:val="both"/>
        <w:rPr>
          <w:rFonts w:ascii="Times New Roman"/>
          <w:b/>
          <w:sz w:val="24"/>
          <w:szCs w:val="20"/>
        </w:rPr>
      </w:pPr>
      <w:r w:rsidRPr="001D01CA">
        <w:rPr>
          <w:rFonts w:ascii="Times New Roman"/>
          <w:b/>
          <w:sz w:val="24"/>
          <w:szCs w:val="20"/>
        </w:rPr>
        <w:t xml:space="preserve">Discussion </w:t>
      </w:r>
    </w:p>
    <w:p w:rsidR="00DA7AA4" w:rsidRPr="00280587" w:rsidRDefault="00D6000C" w:rsidP="00280587">
      <w:pPr>
        <w:pStyle w:val="NoSpacing"/>
        <w:spacing w:line="276" w:lineRule="auto"/>
        <w:jc w:val="both"/>
        <w:rPr>
          <w:rFonts w:ascii="Times New Roman"/>
          <w:sz w:val="20"/>
          <w:szCs w:val="20"/>
        </w:rPr>
      </w:pPr>
      <w:r w:rsidRPr="00280587">
        <w:rPr>
          <w:rFonts w:ascii="Times New Roman"/>
          <w:sz w:val="20"/>
          <w:szCs w:val="20"/>
        </w:rPr>
        <w:t xml:space="preserve">The overarching purpose of this study was to provide empirical evidence on consumer </w:t>
      </w:r>
      <w:proofErr w:type="spellStart"/>
      <w:r w:rsidRPr="00280587">
        <w:rPr>
          <w:rFonts w:ascii="Times New Roman"/>
          <w:sz w:val="20"/>
          <w:szCs w:val="20"/>
        </w:rPr>
        <w:t>behaviour</w:t>
      </w:r>
      <w:proofErr w:type="spellEnd"/>
      <w:r w:rsidRPr="00280587">
        <w:rPr>
          <w:rFonts w:ascii="Times New Roman"/>
          <w:sz w:val="20"/>
          <w:szCs w:val="20"/>
        </w:rPr>
        <w:t xml:space="preserve"> towards MNP innovation in the mobile telecom network in Ghana. It also sought to assess which demographic variables have significant influence on consumer </w:t>
      </w:r>
      <w:proofErr w:type="spellStart"/>
      <w:r w:rsidRPr="00280587">
        <w:rPr>
          <w:rFonts w:ascii="Times New Roman"/>
          <w:sz w:val="20"/>
          <w:szCs w:val="20"/>
        </w:rPr>
        <w:t>behaviour</w:t>
      </w:r>
      <w:proofErr w:type="spellEnd"/>
      <w:r w:rsidRPr="00280587">
        <w:rPr>
          <w:rFonts w:ascii="Times New Roman"/>
          <w:sz w:val="20"/>
          <w:szCs w:val="20"/>
        </w:rPr>
        <w:t xml:space="preserve"> towards MNP policy. </w:t>
      </w:r>
      <w:r w:rsidR="00DA7AA4" w:rsidRPr="00280587">
        <w:rPr>
          <w:rFonts w:ascii="Times New Roman"/>
          <w:sz w:val="20"/>
          <w:szCs w:val="20"/>
        </w:rPr>
        <w:t xml:space="preserve"> </w:t>
      </w:r>
      <w:r w:rsidR="007F2A81" w:rsidRPr="00280587">
        <w:rPr>
          <w:rFonts w:ascii="Times New Roman"/>
          <w:sz w:val="20"/>
          <w:szCs w:val="20"/>
        </w:rPr>
        <w:t xml:space="preserve">Findings on consumer </w:t>
      </w:r>
      <w:proofErr w:type="spellStart"/>
      <w:r w:rsidR="007F2A81" w:rsidRPr="00280587">
        <w:rPr>
          <w:rFonts w:ascii="Times New Roman"/>
          <w:sz w:val="20"/>
          <w:szCs w:val="20"/>
        </w:rPr>
        <w:t>behaviour</w:t>
      </w:r>
      <w:proofErr w:type="spellEnd"/>
      <w:r w:rsidR="007F2A81" w:rsidRPr="00280587">
        <w:rPr>
          <w:rFonts w:ascii="Times New Roman"/>
          <w:sz w:val="20"/>
          <w:szCs w:val="20"/>
        </w:rPr>
        <w:t xml:space="preserve"> towards MNP adoption appear to be consistent with much of the literature on MNP adoption among consumer in other mobile telecom industries. </w:t>
      </w:r>
    </w:p>
    <w:p w:rsidR="00DA7AA4" w:rsidRPr="00280587" w:rsidRDefault="00DA7AA4" w:rsidP="00280587">
      <w:pPr>
        <w:pStyle w:val="NoSpacing"/>
        <w:spacing w:line="276" w:lineRule="auto"/>
        <w:jc w:val="both"/>
        <w:rPr>
          <w:rFonts w:ascii="Times New Roman"/>
          <w:sz w:val="20"/>
          <w:szCs w:val="20"/>
        </w:rPr>
      </w:pPr>
    </w:p>
    <w:p w:rsidR="007F2A81" w:rsidRPr="00280587" w:rsidRDefault="007F2A81"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lastRenderedPageBreak/>
        <w:t>The present study found that, generally, consumer perception of the perceived porting time during the porting process is high. This finding is consistent with a number of previous studies that found that delays in the porting process can affect consumer perception and adoption of MNP (</w:t>
      </w:r>
      <w:proofErr w:type="spellStart"/>
      <w:r w:rsidRPr="00280587">
        <w:rPr>
          <w:rFonts w:ascii="Times New Roman" w:hAnsi="Times New Roman" w:cs="Times New Roman"/>
          <w:sz w:val="20"/>
          <w:szCs w:val="20"/>
        </w:rPr>
        <w:t>Chweya</w:t>
      </w:r>
      <w:proofErr w:type="spellEnd"/>
      <w:r w:rsidRPr="00280587">
        <w:rPr>
          <w:rFonts w:ascii="Times New Roman" w:hAnsi="Times New Roman" w:cs="Times New Roman"/>
          <w:sz w:val="20"/>
          <w:szCs w:val="20"/>
        </w:rPr>
        <w:t xml:space="preserve"> 2013; </w:t>
      </w:r>
      <w:proofErr w:type="spellStart"/>
      <w:r w:rsidRPr="00280587">
        <w:rPr>
          <w:rFonts w:ascii="Times New Roman" w:hAnsi="Times New Roman" w:cs="Times New Roman"/>
          <w:sz w:val="20"/>
          <w:szCs w:val="20"/>
        </w:rPr>
        <w:t>Kagwathi</w:t>
      </w:r>
      <w:proofErr w:type="spellEnd"/>
      <w:r w:rsidRPr="00280587">
        <w:rPr>
          <w:rFonts w:ascii="Times New Roman" w:hAnsi="Times New Roman" w:cs="Times New Roman"/>
          <w:sz w:val="20"/>
          <w:szCs w:val="20"/>
        </w:rPr>
        <w:t xml:space="preserve"> </w:t>
      </w:r>
      <w:r w:rsidR="00991FA5">
        <w:rPr>
          <w:rFonts w:ascii="Times New Roman" w:hAnsi="Times New Roman" w:cs="Times New Roman"/>
          <w:sz w:val="20"/>
          <w:szCs w:val="20"/>
        </w:rPr>
        <w:t xml:space="preserve">et al. 2013; </w:t>
      </w:r>
      <w:proofErr w:type="spellStart"/>
      <w:r w:rsidR="00991FA5">
        <w:rPr>
          <w:rFonts w:ascii="Times New Roman" w:hAnsi="Times New Roman" w:cs="Times New Roman"/>
          <w:sz w:val="20"/>
          <w:szCs w:val="20"/>
        </w:rPr>
        <w:t>Kangangi</w:t>
      </w:r>
      <w:proofErr w:type="spellEnd"/>
      <w:r w:rsidR="00DA7AA4" w:rsidRPr="00280587">
        <w:rPr>
          <w:rFonts w:ascii="Times New Roman" w:hAnsi="Times New Roman" w:cs="Times New Roman"/>
          <w:sz w:val="20"/>
          <w:szCs w:val="20"/>
        </w:rPr>
        <w:t xml:space="preserve"> 2011). </w:t>
      </w:r>
      <w:r w:rsidRPr="00280587">
        <w:rPr>
          <w:rFonts w:ascii="Times New Roman" w:hAnsi="Times New Roman" w:cs="Times New Roman"/>
          <w:sz w:val="20"/>
          <w:szCs w:val="20"/>
        </w:rPr>
        <w:t>The finding implies that, even though consumers stand to benefit when they adopt MNP, as consumers consider the porting process to be more and more effort demanding and time consuming, the less likely will they be motivated to accept and port their mobile numbers to other networks. In GMTI, In spite of the fact that average porting speed has been stable around 5 minutes 25 sec</w:t>
      </w:r>
      <w:r w:rsidR="00991FA5">
        <w:rPr>
          <w:rFonts w:ascii="Times New Roman" w:hAnsi="Times New Roman" w:cs="Times New Roman"/>
          <w:sz w:val="20"/>
          <w:szCs w:val="20"/>
        </w:rPr>
        <w:t>onds between 2012 and 2013 (NCA</w:t>
      </w:r>
      <w:r w:rsidRPr="00280587">
        <w:rPr>
          <w:rFonts w:ascii="Times New Roman" w:hAnsi="Times New Roman" w:cs="Times New Roman"/>
          <w:sz w:val="20"/>
          <w:szCs w:val="20"/>
        </w:rPr>
        <w:t xml:space="preserve"> 2013), the results indicate that consumers’ still perceived porting time to be high. Comparing this with other countries, porting speed is worse in countries like Kenya (2 days), USA (2 hours) and in the Republic of Ireland (20 minutes). Ghana, however, can beat the porting time downwards as done </w:t>
      </w:r>
      <w:proofErr w:type="gramStart"/>
      <w:r w:rsidRPr="00280587">
        <w:rPr>
          <w:rFonts w:ascii="Times New Roman" w:hAnsi="Times New Roman" w:cs="Times New Roman"/>
          <w:sz w:val="20"/>
          <w:szCs w:val="20"/>
        </w:rPr>
        <w:t xml:space="preserve">in  </w:t>
      </w:r>
      <w:proofErr w:type="spellStart"/>
      <w:r w:rsidRPr="00280587">
        <w:rPr>
          <w:rFonts w:ascii="Times New Roman" w:hAnsi="Times New Roman" w:cs="Times New Roman"/>
          <w:sz w:val="20"/>
          <w:szCs w:val="20"/>
        </w:rPr>
        <w:t>Astralia</w:t>
      </w:r>
      <w:proofErr w:type="spellEnd"/>
      <w:proofErr w:type="gramEnd"/>
      <w:r w:rsidRPr="00280587">
        <w:rPr>
          <w:rFonts w:ascii="Times New Roman" w:hAnsi="Times New Roman" w:cs="Times New Roman"/>
          <w:sz w:val="20"/>
          <w:szCs w:val="20"/>
        </w:rPr>
        <w:t xml:space="preserve"> (3 minutes) and </w:t>
      </w:r>
      <w:r w:rsidR="00991FA5">
        <w:rPr>
          <w:rFonts w:ascii="Times New Roman" w:hAnsi="Times New Roman" w:cs="Times New Roman"/>
          <w:sz w:val="20"/>
          <w:szCs w:val="20"/>
        </w:rPr>
        <w:t>New Zealand (seconds) (</w:t>
      </w:r>
      <w:proofErr w:type="spellStart"/>
      <w:r w:rsidR="00991FA5">
        <w:rPr>
          <w:rFonts w:ascii="Times New Roman" w:hAnsi="Times New Roman" w:cs="Times New Roman"/>
          <w:sz w:val="20"/>
          <w:szCs w:val="20"/>
        </w:rPr>
        <w:t>Kangangi</w:t>
      </w:r>
      <w:proofErr w:type="spellEnd"/>
      <w:r w:rsidRPr="00280587">
        <w:rPr>
          <w:rFonts w:ascii="Times New Roman" w:hAnsi="Times New Roman" w:cs="Times New Roman"/>
          <w:sz w:val="20"/>
          <w:szCs w:val="20"/>
        </w:rPr>
        <w:t xml:space="preserve"> 2011).</w:t>
      </w:r>
    </w:p>
    <w:p w:rsidR="007F2A81" w:rsidRPr="00280587" w:rsidRDefault="007F2A81" w:rsidP="00280587">
      <w:pPr>
        <w:pStyle w:val="NoSpacing"/>
        <w:spacing w:line="276" w:lineRule="auto"/>
        <w:jc w:val="both"/>
        <w:rPr>
          <w:rFonts w:ascii="Times New Roman" w:hAnsi="Times New Roman" w:cs="Times New Roman"/>
          <w:sz w:val="20"/>
          <w:szCs w:val="20"/>
        </w:rPr>
      </w:pPr>
    </w:p>
    <w:p w:rsidR="007F2A81" w:rsidRPr="00280587" w:rsidRDefault="007F2A81"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 xml:space="preserve">Related to the porting time is delays in the porting process which is likely to negatively affect different types of customers and subscribers. </w:t>
      </w:r>
      <w:r w:rsidR="00991FA5">
        <w:rPr>
          <w:rFonts w:ascii="Times New Roman" w:hAnsi="Times New Roman" w:cs="Times New Roman"/>
          <w:sz w:val="20"/>
          <w:szCs w:val="20"/>
        </w:rPr>
        <w:t xml:space="preserve">In this regard, </w:t>
      </w:r>
      <w:proofErr w:type="spellStart"/>
      <w:r w:rsidR="00991FA5">
        <w:rPr>
          <w:rFonts w:ascii="Times New Roman" w:hAnsi="Times New Roman" w:cs="Times New Roman"/>
          <w:sz w:val="20"/>
          <w:szCs w:val="20"/>
        </w:rPr>
        <w:t>Chweya</w:t>
      </w:r>
      <w:proofErr w:type="spellEnd"/>
      <w:r w:rsidR="00991FA5">
        <w:rPr>
          <w:rFonts w:ascii="Times New Roman" w:hAnsi="Times New Roman" w:cs="Times New Roman"/>
          <w:sz w:val="20"/>
          <w:szCs w:val="20"/>
        </w:rPr>
        <w:t xml:space="preserve"> (2013,</w:t>
      </w:r>
      <w:r w:rsidRPr="00280587">
        <w:rPr>
          <w:rFonts w:ascii="Times New Roman" w:hAnsi="Times New Roman" w:cs="Times New Roman"/>
          <w:sz w:val="20"/>
          <w:szCs w:val="20"/>
        </w:rPr>
        <w:t xml:space="preserve"> </w:t>
      </w:r>
      <w:r w:rsidR="001D01CA">
        <w:rPr>
          <w:rFonts w:ascii="Times New Roman" w:hAnsi="Times New Roman" w:cs="Times New Roman"/>
          <w:sz w:val="20"/>
          <w:szCs w:val="20"/>
        </w:rPr>
        <w:t xml:space="preserve">p. </w:t>
      </w:r>
      <w:r w:rsidRPr="00280587">
        <w:rPr>
          <w:rFonts w:ascii="Times New Roman" w:hAnsi="Times New Roman" w:cs="Times New Roman"/>
          <w:sz w:val="20"/>
          <w:szCs w:val="20"/>
        </w:rPr>
        <w:t xml:space="preserve">124) notes that in Kenya, “There have been cases in courts where customers accuse some providers of delays in porting hence loss of business.” To overcome porting delays, it is recommended that industry regulators, mobile network operators and all relevant stakeholders who facilitate any aspect of the MNP porting process should </w:t>
      </w:r>
      <w:proofErr w:type="spellStart"/>
      <w:r w:rsidRPr="00280587">
        <w:rPr>
          <w:rFonts w:ascii="Times New Roman" w:hAnsi="Times New Roman" w:cs="Times New Roman"/>
          <w:sz w:val="20"/>
          <w:szCs w:val="20"/>
        </w:rPr>
        <w:t>endeavour</w:t>
      </w:r>
      <w:proofErr w:type="spellEnd"/>
      <w:r w:rsidRPr="00280587">
        <w:rPr>
          <w:rFonts w:ascii="Times New Roman" w:hAnsi="Times New Roman" w:cs="Times New Roman"/>
          <w:sz w:val="20"/>
          <w:szCs w:val="20"/>
        </w:rPr>
        <w:t xml:space="preserve"> to spe</w:t>
      </w:r>
      <w:r w:rsidR="00A701E3">
        <w:rPr>
          <w:rFonts w:ascii="Times New Roman" w:hAnsi="Times New Roman" w:cs="Times New Roman"/>
          <w:sz w:val="20"/>
          <w:szCs w:val="20"/>
        </w:rPr>
        <w:t>e</w:t>
      </w:r>
      <w:r w:rsidRPr="00280587">
        <w:rPr>
          <w:rFonts w:ascii="Times New Roman" w:hAnsi="Times New Roman" w:cs="Times New Roman"/>
          <w:sz w:val="20"/>
          <w:szCs w:val="20"/>
        </w:rPr>
        <w:t>d up the porting process, make it more and more easier to complete within a</w:t>
      </w:r>
      <w:r w:rsidR="00A701E3">
        <w:rPr>
          <w:rFonts w:ascii="Times New Roman" w:hAnsi="Times New Roman" w:cs="Times New Roman"/>
          <w:sz w:val="20"/>
          <w:szCs w:val="20"/>
        </w:rPr>
        <w:t>n</w:t>
      </w:r>
      <w:r w:rsidRPr="00280587">
        <w:rPr>
          <w:rFonts w:ascii="Times New Roman" w:hAnsi="Times New Roman" w:cs="Times New Roman"/>
          <w:sz w:val="20"/>
          <w:szCs w:val="20"/>
        </w:rPr>
        <w:t xml:space="preserve"> insignificantly shorter period, and make purposeful attempts to reduce mobile subscribers’ effort in the whole porting process.</w:t>
      </w:r>
    </w:p>
    <w:p w:rsidR="007F2A81" w:rsidRPr="00280587" w:rsidRDefault="007F2A81" w:rsidP="00280587">
      <w:pPr>
        <w:pStyle w:val="NoSpacing"/>
        <w:spacing w:line="276" w:lineRule="auto"/>
        <w:jc w:val="both"/>
        <w:rPr>
          <w:rFonts w:ascii="Times New Roman" w:hAnsi="Times New Roman" w:cs="Times New Roman"/>
          <w:sz w:val="20"/>
          <w:szCs w:val="20"/>
        </w:rPr>
      </w:pPr>
    </w:p>
    <w:p w:rsidR="007F2A81" w:rsidRPr="00280587" w:rsidRDefault="007F2A81"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Also, the results show that consumers’ switching efficacy induced by MNP is low and that subscribers’ perception of the usefulness of MNP is considerably low. Moreover, the present study found that generally, the level of mobile subscribers’ knowledge of MNP is low in Ghana. The implication of this finding is though MNP is supposed to benefit mobile subscribers, as long as consumers’ level of knowledge is low, the full understanding of the benefits of the MNP and how they can take advantage of the innovation will elude them. The role of knowledge of innovation among end-users or potential innovation adopters has been emphasized long in the innovation literature (Roger</w:t>
      </w:r>
      <w:r w:rsidR="00991FA5">
        <w:rPr>
          <w:rFonts w:ascii="Times New Roman" w:hAnsi="Times New Roman" w:cs="Times New Roman"/>
          <w:sz w:val="20"/>
          <w:szCs w:val="20"/>
        </w:rPr>
        <w:t xml:space="preserve"> 2003; Nimako et al.</w:t>
      </w:r>
      <w:r w:rsidRPr="00280587">
        <w:rPr>
          <w:rFonts w:ascii="Times New Roman" w:hAnsi="Times New Roman" w:cs="Times New Roman"/>
          <w:sz w:val="20"/>
          <w:szCs w:val="20"/>
        </w:rPr>
        <w:t xml:space="preserve"> 2014).</w:t>
      </w:r>
    </w:p>
    <w:p w:rsidR="007F2A81" w:rsidRPr="00280587" w:rsidRDefault="007F2A81" w:rsidP="00280587">
      <w:pPr>
        <w:pStyle w:val="NoSpacing"/>
        <w:spacing w:line="276" w:lineRule="auto"/>
        <w:jc w:val="both"/>
        <w:rPr>
          <w:rFonts w:ascii="Times New Roman" w:hAnsi="Times New Roman" w:cs="Times New Roman"/>
          <w:sz w:val="20"/>
          <w:szCs w:val="20"/>
        </w:rPr>
      </w:pPr>
    </w:p>
    <w:p w:rsidR="007F2A81" w:rsidRPr="00280587" w:rsidRDefault="007F2A81"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Knowledge of innovation has been found to be a key driver of virtually all types</w:t>
      </w:r>
      <w:r w:rsidR="00280587">
        <w:rPr>
          <w:rFonts w:ascii="Times New Roman" w:hAnsi="Times New Roman" w:cs="Times New Roman"/>
          <w:sz w:val="20"/>
          <w:szCs w:val="20"/>
        </w:rPr>
        <w:t xml:space="preserve"> of</w:t>
      </w:r>
      <w:r w:rsidRPr="00280587">
        <w:rPr>
          <w:rFonts w:ascii="Times New Roman" w:hAnsi="Times New Roman" w:cs="Times New Roman"/>
          <w:sz w:val="20"/>
          <w:szCs w:val="20"/>
        </w:rPr>
        <w:t xml:space="preserve"> innovations in electronic environment and</w:t>
      </w:r>
      <w:r w:rsidR="00991FA5">
        <w:rPr>
          <w:rFonts w:ascii="Times New Roman" w:hAnsi="Times New Roman" w:cs="Times New Roman"/>
          <w:sz w:val="20"/>
          <w:szCs w:val="20"/>
        </w:rPr>
        <w:t xml:space="preserve"> other social contexts (Cordell 1997; Park 2009; Roger</w:t>
      </w:r>
      <w:r w:rsidRPr="00280587">
        <w:rPr>
          <w:rFonts w:ascii="Times New Roman" w:hAnsi="Times New Roman" w:cs="Times New Roman"/>
          <w:sz w:val="20"/>
          <w:szCs w:val="20"/>
        </w:rPr>
        <w:t xml:space="preserve"> 2003). More recently and specifically, consumer knowledge of MNP has been found to be a key driver of switching efficacy, positive attitude towards MNP policy and even consumer curiosity to adop</w:t>
      </w:r>
      <w:r w:rsidR="00991FA5">
        <w:rPr>
          <w:rFonts w:ascii="Times New Roman" w:hAnsi="Times New Roman" w:cs="Times New Roman"/>
          <w:sz w:val="20"/>
          <w:szCs w:val="20"/>
        </w:rPr>
        <w:t>t MNP innovation (Nimako et al.</w:t>
      </w:r>
      <w:r w:rsidRPr="00280587">
        <w:rPr>
          <w:rFonts w:ascii="Times New Roman" w:hAnsi="Times New Roman" w:cs="Times New Roman"/>
          <w:sz w:val="20"/>
          <w:szCs w:val="20"/>
        </w:rPr>
        <w:t xml:space="preserve"> 2014).  In a similar study in Korean telecom industry, Shin and Kim (2008) investigate subscribers’ </w:t>
      </w:r>
      <w:proofErr w:type="spellStart"/>
      <w:r w:rsidRPr="00280587">
        <w:rPr>
          <w:rFonts w:ascii="Times New Roman" w:hAnsi="Times New Roman" w:cs="Times New Roman"/>
          <w:sz w:val="20"/>
          <w:szCs w:val="20"/>
        </w:rPr>
        <w:t>behaviour</w:t>
      </w:r>
      <w:proofErr w:type="spellEnd"/>
      <w:r w:rsidRPr="00280587">
        <w:rPr>
          <w:rFonts w:ascii="Times New Roman" w:hAnsi="Times New Roman" w:cs="Times New Roman"/>
          <w:sz w:val="20"/>
          <w:szCs w:val="20"/>
        </w:rPr>
        <w:t xml:space="preserve"> and perceptions toward</w:t>
      </w:r>
      <w:r w:rsidR="00A701E3">
        <w:rPr>
          <w:rFonts w:ascii="Times New Roman" w:hAnsi="Times New Roman" w:cs="Times New Roman"/>
          <w:sz w:val="20"/>
          <w:szCs w:val="20"/>
        </w:rPr>
        <w:t xml:space="preserve"> switching after the introduction</w:t>
      </w:r>
      <w:r w:rsidRPr="00280587">
        <w:rPr>
          <w:rFonts w:ascii="Times New Roman" w:hAnsi="Times New Roman" w:cs="Times New Roman"/>
          <w:sz w:val="20"/>
          <w:szCs w:val="20"/>
        </w:rPr>
        <w:t xml:space="preserve"> of MNP and observe that there is a lack of understanding of the full implications of MNP. This means that MNP has not always translated into consumer beneﬁts. Wright (2002) and </w:t>
      </w:r>
      <w:proofErr w:type="spellStart"/>
      <w:r w:rsidRPr="00280587">
        <w:rPr>
          <w:rFonts w:ascii="Times New Roman" w:hAnsi="Times New Roman" w:cs="Times New Roman"/>
          <w:sz w:val="20"/>
          <w:szCs w:val="20"/>
        </w:rPr>
        <w:t>Gand</w:t>
      </w:r>
      <w:proofErr w:type="spellEnd"/>
      <w:r w:rsidRPr="00280587">
        <w:rPr>
          <w:rFonts w:ascii="Times New Roman" w:hAnsi="Times New Roman" w:cs="Times New Roman"/>
          <w:sz w:val="20"/>
          <w:szCs w:val="20"/>
        </w:rPr>
        <w:t xml:space="preserve"> and King (2000) found that consumer ignorance of relevant pricing in the MNP policy may deteriorate the customers’ price in price information, which can </w:t>
      </w:r>
      <w:r w:rsidR="00280587">
        <w:rPr>
          <w:rFonts w:ascii="Times New Roman" w:hAnsi="Times New Roman" w:cs="Times New Roman"/>
          <w:sz w:val="20"/>
          <w:szCs w:val="20"/>
        </w:rPr>
        <w:t xml:space="preserve">reduce consumer benefit of MNP. </w:t>
      </w:r>
      <w:r w:rsidRPr="00280587">
        <w:rPr>
          <w:rFonts w:ascii="Times New Roman" w:hAnsi="Times New Roman" w:cs="Times New Roman"/>
          <w:sz w:val="20"/>
          <w:szCs w:val="20"/>
        </w:rPr>
        <w:t xml:space="preserve">These findings have implication for more intensive and effective consumer education on MNP using all available media in Ghana’s mobile telecom industry by the industry regulator, NCA, together with mobile network operators and all relevant stakeholders (Nimako et al. 2014).  </w:t>
      </w:r>
    </w:p>
    <w:p w:rsidR="007F2A81" w:rsidRPr="00280587" w:rsidRDefault="007F2A81" w:rsidP="00280587">
      <w:pPr>
        <w:pStyle w:val="NoSpacing"/>
        <w:spacing w:line="276" w:lineRule="auto"/>
        <w:jc w:val="both"/>
        <w:rPr>
          <w:rFonts w:ascii="Times New Roman" w:hAnsi="Times New Roman" w:cs="Times New Roman"/>
          <w:sz w:val="20"/>
          <w:szCs w:val="20"/>
        </w:rPr>
      </w:pPr>
    </w:p>
    <w:p w:rsidR="007F2A81" w:rsidRPr="00280587" w:rsidRDefault="007F2A81"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 xml:space="preserve">Furthermore, the present study found that, generally, respondents have </w:t>
      </w:r>
      <w:proofErr w:type="spellStart"/>
      <w:r w:rsidRPr="00280587">
        <w:rPr>
          <w:rFonts w:ascii="Times New Roman" w:hAnsi="Times New Roman" w:cs="Times New Roman"/>
          <w:sz w:val="20"/>
          <w:szCs w:val="20"/>
        </w:rPr>
        <w:t>unfavourable</w:t>
      </w:r>
      <w:proofErr w:type="spellEnd"/>
      <w:r w:rsidRPr="00280587">
        <w:rPr>
          <w:rFonts w:ascii="Times New Roman" w:hAnsi="Times New Roman" w:cs="Times New Roman"/>
          <w:sz w:val="20"/>
          <w:szCs w:val="20"/>
        </w:rPr>
        <w:t xml:space="preserve"> attitude towards MNP. This situation is quite disheartening because consumers’ attitude towards any innovation has been found to be a key driver of their adoption and use </w:t>
      </w:r>
      <w:r w:rsidR="00991FA5">
        <w:rPr>
          <w:rFonts w:ascii="Times New Roman" w:hAnsi="Times New Roman" w:cs="Times New Roman"/>
          <w:sz w:val="20"/>
          <w:szCs w:val="20"/>
        </w:rPr>
        <w:t>of the innovation (Davis et al. 1989; Park 2009; Roger</w:t>
      </w:r>
      <w:r w:rsidRPr="00280587">
        <w:rPr>
          <w:rFonts w:ascii="Times New Roman" w:hAnsi="Times New Roman" w:cs="Times New Roman"/>
          <w:sz w:val="20"/>
          <w:szCs w:val="20"/>
        </w:rPr>
        <w:t xml:space="preserve"> 2003). Therefore, if consumers’ attitude is </w:t>
      </w:r>
      <w:proofErr w:type="spellStart"/>
      <w:r w:rsidRPr="00280587">
        <w:rPr>
          <w:rFonts w:ascii="Times New Roman" w:hAnsi="Times New Roman" w:cs="Times New Roman"/>
          <w:sz w:val="20"/>
          <w:szCs w:val="20"/>
        </w:rPr>
        <w:t>unfavou</w:t>
      </w:r>
      <w:r w:rsidR="000E563D" w:rsidRPr="00280587">
        <w:rPr>
          <w:rFonts w:ascii="Times New Roman" w:hAnsi="Times New Roman" w:cs="Times New Roman"/>
          <w:sz w:val="20"/>
          <w:szCs w:val="20"/>
        </w:rPr>
        <w:t>r</w:t>
      </w:r>
      <w:r w:rsidRPr="00280587">
        <w:rPr>
          <w:rFonts w:ascii="Times New Roman" w:hAnsi="Times New Roman" w:cs="Times New Roman"/>
          <w:sz w:val="20"/>
          <w:szCs w:val="20"/>
        </w:rPr>
        <w:t>able</w:t>
      </w:r>
      <w:proofErr w:type="spellEnd"/>
      <w:r w:rsidRPr="00280587">
        <w:rPr>
          <w:rFonts w:ascii="Times New Roman" w:hAnsi="Times New Roman" w:cs="Times New Roman"/>
          <w:sz w:val="20"/>
          <w:szCs w:val="20"/>
        </w:rPr>
        <w:t xml:space="preserve">, as it is in the case of MNP in Ghana, then the innovative policy of MNP might not be able </w:t>
      </w:r>
      <w:proofErr w:type="gramStart"/>
      <w:r w:rsidRPr="00280587">
        <w:rPr>
          <w:rFonts w:ascii="Times New Roman" w:hAnsi="Times New Roman" w:cs="Times New Roman"/>
          <w:sz w:val="20"/>
          <w:szCs w:val="20"/>
        </w:rPr>
        <w:t xml:space="preserve">to </w:t>
      </w:r>
      <w:r w:rsidR="00280587">
        <w:rPr>
          <w:rFonts w:ascii="Times New Roman" w:hAnsi="Times New Roman" w:cs="Times New Roman"/>
          <w:sz w:val="20"/>
          <w:szCs w:val="20"/>
        </w:rPr>
        <w:t xml:space="preserve"> </w:t>
      </w:r>
      <w:r w:rsidRPr="00280587">
        <w:rPr>
          <w:rFonts w:ascii="Times New Roman" w:hAnsi="Times New Roman" w:cs="Times New Roman"/>
          <w:sz w:val="20"/>
          <w:szCs w:val="20"/>
        </w:rPr>
        <w:t>drive</w:t>
      </w:r>
      <w:proofErr w:type="gramEnd"/>
      <w:r w:rsidRPr="00280587">
        <w:rPr>
          <w:rFonts w:ascii="Times New Roman" w:hAnsi="Times New Roman" w:cs="Times New Roman"/>
          <w:sz w:val="20"/>
          <w:szCs w:val="20"/>
        </w:rPr>
        <w:t xml:space="preserve"> consumer adoption significantly over an appreciable time period. </w:t>
      </w:r>
    </w:p>
    <w:p w:rsidR="007F2A81" w:rsidRPr="00280587" w:rsidRDefault="007F2A81" w:rsidP="00280587">
      <w:pPr>
        <w:pStyle w:val="NoSpacing"/>
        <w:spacing w:line="276" w:lineRule="auto"/>
        <w:jc w:val="both"/>
        <w:rPr>
          <w:rFonts w:ascii="Times New Roman" w:hAnsi="Times New Roman" w:cs="Times New Roman"/>
          <w:sz w:val="20"/>
          <w:szCs w:val="20"/>
        </w:rPr>
      </w:pPr>
    </w:p>
    <w:p w:rsidR="007F2A81" w:rsidRPr="000F3E91" w:rsidRDefault="007F2A81"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 xml:space="preserve">Generally, several factors have been found to influence consumers’ attitude towards most </w:t>
      </w:r>
      <w:proofErr w:type="spellStart"/>
      <w:r w:rsidRPr="00280587">
        <w:rPr>
          <w:rFonts w:ascii="Times New Roman" w:hAnsi="Times New Roman" w:cs="Times New Roman"/>
          <w:sz w:val="20"/>
          <w:szCs w:val="20"/>
        </w:rPr>
        <w:t>behaviour</w:t>
      </w:r>
      <w:proofErr w:type="spellEnd"/>
      <w:r w:rsidRPr="00280587">
        <w:rPr>
          <w:rFonts w:ascii="Times New Roman" w:hAnsi="Times New Roman" w:cs="Times New Roman"/>
          <w:sz w:val="20"/>
          <w:szCs w:val="20"/>
        </w:rPr>
        <w:t xml:space="preserve"> and adoption of many innovations including perceived ease of use (or effort expectancy), perceived usefulness (or performance expectancy), social influence and other external facilitating conditions such as education, training and self-efficacy </w:t>
      </w:r>
      <w:r w:rsidR="00991FA5">
        <w:rPr>
          <w:rFonts w:ascii="Times New Roman" w:hAnsi="Times New Roman" w:cs="Times New Roman"/>
          <w:sz w:val="20"/>
          <w:szCs w:val="20"/>
        </w:rPr>
        <w:t>(</w:t>
      </w:r>
      <w:proofErr w:type="spellStart"/>
      <w:r w:rsidR="00991FA5">
        <w:rPr>
          <w:rFonts w:ascii="Times New Roman" w:hAnsi="Times New Roman" w:cs="Times New Roman"/>
          <w:sz w:val="20"/>
          <w:szCs w:val="20"/>
        </w:rPr>
        <w:t>Ajzen</w:t>
      </w:r>
      <w:proofErr w:type="spellEnd"/>
      <w:r w:rsidR="00991FA5">
        <w:rPr>
          <w:rFonts w:ascii="Times New Roman" w:hAnsi="Times New Roman" w:cs="Times New Roman"/>
          <w:sz w:val="20"/>
          <w:szCs w:val="20"/>
        </w:rPr>
        <w:t xml:space="preserve"> 1991, </w:t>
      </w:r>
      <w:proofErr w:type="spellStart"/>
      <w:r w:rsidR="00991FA5">
        <w:rPr>
          <w:rFonts w:ascii="Times New Roman" w:hAnsi="Times New Roman" w:cs="Times New Roman"/>
          <w:sz w:val="20"/>
          <w:szCs w:val="20"/>
        </w:rPr>
        <w:t>Ajzen</w:t>
      </w:r>
      <w:proofErr w:type="spellEnd"/>
      <w:r w:rsidR="00991FA5">
        <w:rPr>
          <w:rFonts w:ascii="Times New Roman" w:hAnsi="Times New Roman" w:cs="Times New Roman"/>
          <w:sz w:val="20"/>
          <w:szCs w:val="20"/>
        </w:rPr>
        <w:t xml:space="preserve"> and </w:t>
      </w:r>
      <w:proofErr w:type="spellStart"/>
      <w:r w:rsidR="00991FA5">
        <w:rPr>
          <w:rFonts w:ascii="Times New Roman" w:hAnsi="Times New Roman" w:cs="Times New Roman"/>
          <w:sz w:val="20"/>
          <w:szCs w:val="20"/>
        </w:rPr>
        <w:t>Fisbein</w:t>
      </w:r>
      <w:proofErr w:type="spellEnd"/>
      <w:r w:rsidR="00991FA5">
        <w:rPr>
          <w:rFonts w:ascii="Times New Roman" w:hAnsi="Times New Roman" w:cs="Times New Roman"/>
          <w:sz w:val="20"/>
          <w:szCs w:val="20"/>
        </w:rPr>
        <w:t xml:space="preserve"> 2000, 2004; Davis et al.</w:t>
      </w:r>
      <w:r w:rsidRPr="00280587">
        <w:rPr>
          <w:rFonts w:ascii="Times New Roman" w:hAnsi="Times New Roman" w:cs="Times New Roman"/>
          <w:sz w:val="20"/>
          <w:szCs w:val="20"/>
        </w:rPr>
        <w:t xml:space="preserve"> 1989). These findings on attitude have important implications </w:t>
      </w:r>
      <w:r w:rsidRPr="00280587">
        <w:rPr>
          <w:rFonts w:ascii="Times New Roman" w:hAnsi="Times New Roman" w:cs="Times New Roman"/>
          <w:sz w:val="20"/>
          <w:szCs w:val="20"/>
        </w:rPr>
        <w:lastRenderedPageBreak/>
        <w:t xml:space="preserve">for management and policy makers in mobile telecom industry in developing country to develop effective strategies to manage induce positive consumer attitude towards MNP policy.  </w:t>
      </w:r>
      <w:r w:rsidRPr="00280587">
        <w:rPr>
          <w:rFonts w:ascii="Times New Roman"/>
          <w:sz w:val="20"/>
          <w:szCs w:val="20"/>
        </w:rPr>
        <w:t xml:space="preserve">Practically, the findings provide some hope that, even though in practice consumers may have some </w:t>
      </w:r>
      <w:proofErr w:type="spellStart"/>
      <w:r w:rsidRPr="00280587">
        <w:rPr>
          <w:rFonts w:ascii="Times New Roman"/>
          <w:sz w:val="20"/>
          <w:szCs w:val="20"/>
        </w:rPr>
        <w:t>unfavourable</w:t>
      </w:r>
      <w:proofErr w:type="spellEnd"/>
      <w:r w:rsidRPr="00280587">
        <w:rPr>
          <w:rFonts w:ascii="Times New Roman"/>
          <w:sz w:val="20"/>
          <w:szCs w:val="20"/>
        </w:rPr>
        <w:t xml:space="preserve"> attitude towards MNP, especially at the </w:t>
      </w:r>
      <w:r w:rsidRPr="000F3E91">
        <w:rPr>
          <w:rFonts w:ascii="Times New Roman"/>
          <w:sz w:val="20"/>
          <w:szCs w:val="20"/>
        </w:rPr>
        <w:t>initial stages of its introduction as it is in Ghana, with the necessary consumer education, MNP could have positive results on consumer adoption of MNP and switching intentions.</w:t>
      </w:r>
    </w:p>
    <w:p w:rsidR="00D6000C" w:rsidRPr="000F3E91" w:rsidRDefault="00D6000C" w:rsidP="00280587">
      <w:pPr>
        <w:pStyle w:val="NoSpacing"/>
        <w:spacing w:line="276" w:lineRule="auto"/>
        <w:jc w:val="both"/>
        <w:rPr>
          <w:rFonts w:ascii="Times New Roman" w:hAnsi="Times New Roman" w:cs="Times New Roman"/>
          <w:sz w:val="20"/>
          <w:szCs w:val="20"/>
        </w:rPr>
      </w:pPr>
    </w:p>
    <w:p w:rsidR="00887644" w:rsidRPr="00280587" w:rsidRDefault="00FF405B" w:rsidP="00280587">
      <w:pPr>
        <w:pStyle w:val="NoSpacing"/>
        <w:spacing w:line="276" w:lineRule="auto"/>
        <w:jc w:val="both"/>
        <w:rPr>
          <w:sz w:val="20"/>
          <w:szCs w:val="20"/>
        </w:rPr>
      </w:pPr>
      <w:r w:rsidRPr="000F3E91">
        <w:rPr>
          <w:rFonts w:ascii="Times New Roman" w:hAnsi="Times New Roman" w:cs="Times New Roman"/>
          <w:sz w:val="20"/>
          <w:szCs w:val="20"/>
        </w:rPr>
        <w:t xml:space="preserve">On the demographic characteristics and consumer </w:t>
      </w:r>
      <w:proofErr w:type="spellStart"/>
      <w:r w:rsidRPr="000F3E91">
        <w:rPr>
          <w:rFonts w:ascii="Times New Roman" w:hAnsi="Times New Roman" w:cs="Times New Roman"/>
          <w:sz w:val="20"/>
          <w:szCs w:val="20"/>
        </w:rPr>
        <w:t>behaviour</w:t>
      </w:r>
      <w:proofErr w:type="spellEnd"/>
      <w:r w:rsidRPr="000F3E91">
        <w:rPr>
          <w:rFonts w:ascii="Times New Roman" w:hAnsi="Times New Roman" w:cs="Times New Roman"/>
          <w:sz w:val="20"/>
          <w:szCs w:val="20"/>
        </w:rPr>
        <w:t xml:space="preserve"> towards MNP, </w:t>
      </w:r>
      <w:r w:rsidR="0011760A" w:rsidRPr="000F3E91">
        <w:rPr>
          <w:rFonts w:ascii="Times New Roman" w:hAnsi="Times New Roman" w:cs="Times New Roman"/>
          <w:sz w:val="20"/>
          <w:szCs w:val="20"/>
        </w:rPr>
        <w:t>the findings of the present study indicate that</w:t>
      </w:r>
      <w:r w:rsidR="00743520" w:rsidRPr="000F3E91">
        <w:rPr>
          <w:rFonts w:ascii="Times New Roman" w:hAnsi="Times New Roman" w:cs="Times New Roman"/>
          <w:sz w:val="20"/>
          <w:szCs w:val="20"/>
        </w:rPr>
        <w:t xml:space="preserve"> gender has considerable influence on consumer </w:t>
      </w:r>
      <w:proofErr w:type="spellStart"/>
      <w:r w:rsidR="00743520" w:rsidRPr="000F3E91">
        <w:rPr>
          <w:rFonts w:ascii="Times New Roman" w:hAnsi="Times New Roman" w:cs="Times New Roman"/>
          <w:sz w:val="20"/>
          <w:szCs w:val="20"/>
        </w:rPr>
        <w:t>behaviour</w:t>
      </w:r>
      <w:proofErr w:type="spellEnd"/>
      <w:r w:rsidR="00743520" w:rsidRPr="000F3E91">
        <w:rPr>
          <w:rFonts w:ascii="Times New Roman" w:hAnsi="Times New Roman" w:cs="Times New Roman"/>
          <w:sz w:val="20"/>
          <w:szCs w:val="20"/>
        </w:rPr>
        <w:t xml:space="preserve"> towards MNP</w:t>
      </w:r>
      <w:r w:rsidR="00D51939" w:rsidRPr="000F3E91">
        <w:rPr>
          <w:rFonts w:ascii="Times New Roman" w:hAnsi="Times New Roman" w:cs="Times New Roman"/>
          <w:sz w:val="20"/>
          <w:szCs w:val="20"/>
        </w:rPr>
        <w:t xml:space="preserve"> in Ghana</w:t>
      </w:r>
      <w:r w:rsidR="00743520" w:rsidRPr="000F3E91">
        <w:rPr>
          <w:rFonts w:ascii="Times New Roman" w:hAnsi="Times New Roman" w:cs="Times New Roman"/>
          <w:sz w:val="20"/>
          <w:szCs w:val="20"/>
        </w:rPr>
        <w:t>, which is different from th</w:t>
      </w:r>
      <w:r w:rsidR="00D51939" w:rsidRPr="000F3E91">
        <w:rPr>
          <w:rFonts w:ascii="Times New Roman" w:hAnsi="Times New Roman" w:cs="Times New Roman"/>
          <w:sz w:val="20"/>
          <w:szCs w:val="20"/>
        </w:rPr>
        <w:t xml:space="preserve">e </w:t>
      </w:r>
      <w:r w:rsidR="00743520" w:rsidRPr="000F3E91">
        <w:rPr>
          <w:rFonts w:ascii="Times New Roman" w:hAnsi="Times New Roman" w:cs="Times New Roman"/>
          <w:sz w:val="20"/>
          <w:szCs w:val="20"/>
        </w:rPr>
        <w:t xml:space="preserve">finding of </w:t>
      </w:r>
      <w:proofErr w:type="spellStart"/>
      <w:r w:rsidR="00743520" w:rsidRPr="000F3E91">
        <w:rPr>
          <w:rFonts w:ascii="Times New Roman" w:hAnsi="Times New Roman" w:cs="Times New Roman"/>
          <w:sz w:val="20"/>
          <w:szCs w:val="20"/>
        </w:rPr>
        <w:t>Abdramon</w:t>
      </w:r>
      <w:proofErr w:type="spellEnd"/>
      <w:r w:rsidR="00743520" w:rsidRPr="000F3E91">
        <w:rPr>
          <w:rFonts w:ascii="Times New Roman" w:hAnsi="Times New Roman" w:cs="Times New Roman"/>
          <w:sz w:val="20"/>
          <w:szCs w:val="20"/>
        </w:rPr>
        <w:t xml:space="preserve"> and </w:t>
      </w:r>
      <w:proofErr w:type="spellStart"/>
      <w:r w:rsidR="00743520" w:rsidRPr="000F3E91">
        <w:rPr>
          <w:rFonts w:ascii="Times New Roman" w:hAnsi="Times New Roman" w:cs="Times New Roman"/>
          <w:sz w:val="20"/>
          <w:szCs w:val="20"/>
        </w:rPr>
        <w:t>Mejabi</w:t>
      </w:r>
      <w:proofErr w:type="spellEnd"/>
      <w:r w:rsidR="00743520" w:rsidRPr="000F3E91">
        <w:rPr>
          <w:rFonts w:ascii="Times New Roman" w:hAnsi="Times New Roman" w:cs="Times New Roman"/>
          <w:sz w:val="20"/>
          <w:szCs w:val="20"/>
        </w:rPr>
        <w:t xml:space="preserve"> (2012) which suggests that gender had no significant influence on attitude towards MNP in Nigeria telecom industry.</w:t>
      </w:r>
      <w:r w:rsidR="00656E22" w:rsidRPr="000F3E91">
        <w:rPr>
          <w:rFonts w:ascii="Times New Roman" w:hAnsi="Times New Roman" w:cs="Times New Roman"/>
          <w:sz w:val="20"/>
          <w:szCs w:val="20"/>
        </w:rPr>
        <w:t xml:space="preserve"> </w:t>
      </w:r>
      <w:r w:rsidR="003D5B6D" w:rsidRPr="000F3E91">
        <w:rPr>
          <w:rFonts w:ascii="Times New Roman" w:hAnsi="Times New Roman" w:cs="Times New Roman"/>
          <w:sz w:val="20"/>
          <w:szCs w:val="20"/>
        </w:rPr>
        <w:t xml:space="preserve">Apart from gender, age also had </w:t>
      </w:r>
      <w:r w:rsidR="00A701E3">
        <w:rPr>
          <w:rFonts w:ascii="Times New Roman" w:hAnsi="Times New Roman" w:cs="Times New Roman"/>
          <w:sz w:val="20"/>
          <w:szCs w:val="20"/>
        </w:rPr>
        <w:t xml:space="preserve">influence on most consumer </w:t>
      </w:r>
      <w:proofErr w:type="spellStart"/>
      <w:r w:rsidR="00A701E3">
        <w:rPr>
          <w:rFonts w:ascii="Times New Roman" w:hAnsi="Times New Roman" w:cs="Times New Roman"/>
          <w:sz w:val="20"/>
          <w:szCs w:val="20"/>
        </w:rPr>
        <w:t>beha</w:t>
      </w:r>
      <w:r w:rsidR="003D5B6D" w:rsidRPr="000F3E91">
        <w:rPr>
          <w:rFonts w:ascii="Times New Roman" w:hAnsi="Times New Roman" w:cs="Times New Roman"/>
          <w:sz w:val="20"/>
          <w:szCs w:val="20"/>
        </w:rPr>
        <w:t>v</w:t>
      </w:r>
      <w:r w:rsidR="00A701E3">
        <w:rPr>
          <w:rFonts w:ascii="Times New Roman" w:hAnsi="Times New Roman" w:cs="Times New Roman"/>
          <w:sz w:val="20"/>
          <w:szCs w:val="20"/>
        </w:rPr>
        <w:t>i</w:t>
      </w:r>
      <w:r w:rsidR="003D5B6D" w:rsidRPr="000F3E91">
        <w:rPr>
          <w:rFonts w:ascii="Times New Roman" w:hAnsi="Times New Roman" w:cs="Times New Roman"/>
          <w:sz w:val="20"/>
          <w:szCs w:val="20"/>
        </w:rPr>
        <w:t>our</w:t>
      </w:r>
      <w:proofErr w:type="spellEnd"/>
      <w:r w:rsidR="003D5B6D" w:rsidRPr="000F3E91">
        <w:rPr>
          <w:rFonts w:ascii="Times New Roman" w:hAnsi="Times New Roman" w:cs="Times New Roman"/>
          <w:sz w:val="20"/>
          <w:szCs w:val="20"/>
        </w:rPr>
        <w:t xml:space="preserve"> such as perceived level of MNP knowledge and switching efficacy, confirming some previous studies </w:t>
      </w:r>
      <w:r w:rsidR="00FF1B2C" w:rsidRPr="000F3E91">
        <w:rPr>
          <w:rFonts w:ascii="Times New Roman" w:hAnsi="Times New Roman" w:cs="Times New Roman"/>
          <w:sz w:val="20"/>
          <w:szCs w:val="20"/>
        </w:rPr>
        <w:t>(</w:t>
      </w:r>
      <w:proofErr w:type="spellStart"/>
      <w:r w:rsidR="00FF1B2C" w:rsidRPr="000F3E91">
        <w:rPr>
          <w:rFonts w:ascii="Times New Roman" w:hAnsi="Times New Roman" w:cs="Times New Roman"/>
          <w:sz w:val="20"/>
          <w:szCs w:val="20"/>
        </w:rPr>
        <w:t>Abdramon</w:t>
      </w:r>
      <w:proofErr w:type="spellEnd"/>
      <w:r w:rsidR="00FF1B2C" w:rsidRPr="000F3E91">
        <w:rPr>
          <w:rFonts w:ascii="Times New Roman" w:hAnsi="Times New Roman" w:cs="Times New Roman"/>
          <w:sz w:val="20"/>
          <w:szCs w:val="20"/>
        </w:rPr>
        <w:t xml:space="preserve"> </w:t>
      </w:r>
      <w:r w:rsidR="00646D41">
        <w:rPr>
          <w:rFonts w:ascii="Times New Roman" w:hAnsi="Times New Roman" w:cs="Times New Roman"/>
          <w:sz w:val="20"/>
          <w:szCs w:val="20"/>
        </w:rPr>
        <w:t>and</w:t>
      </w:r>
      <w:r w:rsidR="00991FA5">
        <w:rPr>
          <w:rFonts w:ascii="Times New Roman" w:hAnsi="Times New Roman" w:cs="Times New Roman"/>
          <w:sz w:val="20"/>
          <w:szCs w:val="20"/>
        </w:rPr>
        <w:t xml:space="preserve"> </w:t>
      </w:r>
      <w:proofErr w:type="spellStart"/>
      <w:r w:rsidR="00991FA5">
        <w:rPr>
          <w:rFonts w:ascii="Times New Roman" w:hAnsi="Times New Roman" w:cs="Times New Roman"/>
          <w:sz w:val="20"/>
          <w:szCs w:val="20"/>
        </w:rPr>
        <w:t>Mejabi</w:t>
      </w:r>
      <w:proofErr w:type="spellEnd"/>
      <w:r w:rsidR="00FF1B2C" w:rsidRPr="000F3E91">
        <w:rPr>
          <w:rFonts w:ascii="Times New Roman" w:hAnsi="Times New Roman" w:cs="Times New Roman"/>
          <w:sz w:val="20"/>
          <w:szCs w:val="20"/>
        </w:rPr>
        <w:t xml:space="preserve"> 2012; Homburg </w:t>
      </w:r>
      <w:r w:rsidR="00646D41">
        <w:rPr>
          <w:rFonts w:ascii="Times New Roman" w:hAnsi="Times New Roman" w:cs="Times New Roman"/>
          <w:sz w:val="20"/>
          <w:szCs w:val="20"/>
        </w:rPr>
        <w:t>and</w:t>
      </w:r>
      <w:r w:rsidR="00991FA5">
        <w:rPr>
          <w:rFonts w:ascii="Times New Roman" w:hAnsi="Times New Roman" w:cs="Times New Roman"/>
          <w:sz w:val="20"/>
          <w:szCs w:val="20"/>
        </w:rPr>
        <w:t xml:space="preserve"> </w:t>
      </w:r>
      <w:proofErr w:type="spellStart"/>
      <w:r w:rsidR="00991FA5">
        <w:rPr>
          <w:rFonts w:ascii="Times New Roman" w:hAnsi="Times New Roman" w:cs="Times New Roman"/>
          <w:sz w:val="20"/>
          <w:szCs w:val="20"/>
        </w:rPr>
        <w:t>Giering</w:t>
      </w:r>
      <w:proofErr w:type="spellEnd"/>
      <w:r w:rsidR="00991FA5">
        <w:rPr>
          <w:rFonts w:ascii="Times New Roman" w:hAnsi="Times New Roman" w:cs="Times New Roman"/>
          <w:sz w:val="20"/>
          <w:szCs w:val="20"/>
        </w:rPr>
        <w:t xml:space="preserve">, 2001; </w:t>
      </w:r>
      <w:proofErr w:type="spellStart"/>
      <w:r w:rsidR="00991FA5">
        <w:rPr>
          <w:rFonts w:ascii="Times New Roman" w:hAnsi="Times New Roman" w:cs="Times New Roman"/>
          <w:sz w:val="20"/>
          <w:szCs w:val="20"/>
        </w:rPr>
        <w:t>Ooko</w:t>
      </w:r>
      <w:proofErr w:type="spellEnd"/>
      <w:r w:rsidR="00991FA5">
        <w:rPr>
          <w:rFonts w:ascii="Times New Roman" w:hAnsi="Times New Roman" w:cs="Times New Roman"/>
          <w:sz w:val="20"/>
          <w:szCs w:val="20"/>
        </w:rPr>
        <w:t xml:space="preserve"> et al.</w:t>
      </w:r>
      <w:r w:rsidR="00FF1B2C" w:rsidRPr="000F3E91">
        <w:rPr>
          <w:rFonts w:ascii="Times New Roman" w:hAnsi="Times New Roman" w:cs="Times New Roman"/>
          <w:sz w:val="20"/>
          <w:szCs w:val="20"/>
        </w:rPr>
        <w:t xml:space="preserve"> 2014). </w:t>
      </w:r>
      <w:r w:rsidR="00201678" w:rsidRPr="000F3E91">
        <w:rPr>
          <w:rFonts w:ascii="Times New Roman" w:hAnsi="Times New Roman" w:cs="Times New Roman"/>
          <w:sz w:val="20"/>
          <w:szCs w:val="20"/>
        </w:rPr>
        <w:t>Moreover, e</w:t>
      </w:r>
      <w:r w:rsidR="00887644" w:rsidRPr="000F3E91">
        <w:rPr>
          <w:rFonts w:ascii="Times New Roman" w:hAnsi="Times New Roman" w:cs="Times New Roman"/>
          <w:sz w:val="20"/>
          <w:szCs w:val="20"/>
        </w:rPr>
        <w:t xml:space="preserve">ducation, income and marital status of subscribers had insignificantly little influence on consumer </w:t>
      </w:r>
      <w:proofErr w:type="spellStart"/>
      <w:r w:rsidR="00887644" w:rsidRPr="000F3E91">
        <w:rPr>
          <w:rFonts w:ascii="Times New Roman" w:hAnsi="Times New Roman" w:cs="Times New Roman"/>
          <w:sz w:val="20"/>
          <w:szCs w:val="20"/>
        </w:rPr>
        <w:t>behaviour</w:t>
      </w:r>
      <w:proofErr w:type="spellEnd"/>
      <w:r w:rsidR="00887644" w:rsidRPr="000F3E91">
        <w:rPr>
          <w:rFonts w:ascii="Times New Roman" w:hAnsi="Times New Roman" w:cs="Times New Roman"/>
          <w:sz w:val="20"/>
          <w:szCs w:val="20"/>
        </w:rPr>
        <w:t xml:space="preserve"> towards the adoption of MNP, providing support for similar finding in existing MNP literature (</w:t>
      </w:r>
      <w:proofErr w:type="spellStart"/>
      <w:r w:rsidR="00887644" w:rsidRPr="000F3E91">
        <w:rPr>
          <w:rFonts w:ascii="Times New Roman" w:hAnsi="Times New Roman" w:cs="Times New Roman"/>
          <w:sz w:val="20"/>
          <w:szCs w:val="20"/>
        </w:rPr>
        <w:t>Abdramon</w:t>
      </w:r>
      <w:proofErr w:type="spellEnd"/>
      <w:r w:rsidR="00887644" w:rsidRPr="000F3E91">
        <w:rPr>
          <w:rFonts w:ascii="Times New Roman" w:hAnsi="Times New Roman" w:cs="Times New Roman"/>
          <w:sz w:val="20"/>
          <w:szCs w:val="20"/>
        </w:rPr>
        <w:t xml:space="preserve"> </w:t>
      </w:r>
      <w:r w:rsidR="00646D41">
        <w:rPr>
          <w:rFonts w:ascii="Times New Roman" w:hAnsi="Times New Roman" w:cs="Times New Roman"/>
          <w:sz w:val="20"/>
          <w:szCs w:val="20"/>
        </w:rPr>
        <w:t>and</w:t>
      </w:r>
      <w:r w:rsidR="00991FA5">
        <w:rPr>
          <w:rFonts w:ascii="Times New Roman" w:hAnsi="Times New Roman" w:cs="Times New Roman"/>
          <w:sz w:val="20"/>
          <w:szCs w:val="20"/>
        </w:rPr>
        <w:t xml:space="preserve"> </w:t>
      </w:r>
      <w:proofErr w:type="spellStart"/>
      <w:r w:rsidR="00991FA5">
        <w:rPr>
          <w:rFonts w:ascii="Times New Roman" w:hAnsi="Times New Roman" w:cs="Times New Roman"/>
          <w:sz w:val="20"/>
          <w:szCs w:val="20"/>
        </w:rPr>
        <w:t>Mejabi</w:t>
      </w:r>
      <w:proofErr w:type="spellEnd"/>
      <w:r w:rsidR="00887644" w:rsidRPr="000F3E91">
        <w:rPr>
          <w:rFonts w:ascii="Times New Roman" w:hAnsi="Times New Roman" w:cs="Times New Roman"/>
          <w:sz w:val="20"/>
          <w:szCs w:val="20"/>
        </w:rPr>
        <w:t xml:space="preserve"> 2012; Homburg </w:t>
      </w:r>
      <w:r w:rsidR="00646D41">
        <w:rPr>
          <w:rFonts w:ascii="Times New Roman" w:hAnsi="Times New Roman" w:cs="Times New Roman"/>
          <w:sz w:val="20"/>
          <w:szCs w:val="20"/>
        </w:rPr>
        <w:t>and</w:t>
      </w:r>
      <w:r w:rsidR="00991FA5">
        <w:rPr>
          <w:rFonts w:ascii="Times New Roman" w:hAnsi="Times New Roman" w:cs="Times New Roman"/>
          <w:sz w:val="20"/>
          <w:szCs w:val="20"/>
        </w:rPr>
        <w:t xml:space="preserve"> </w:t>
      </w:r>
      <w:proofErr w:type="spellStart"/>
      <w:r w:rsidR="00991FA5">
        <w:rPr>
          <w:rFonts w:ascii="Times New Roman" w:hAnsi="Times New Roman" w:cs="Times New Roman"/>
          <w:sz w:val="20"/>
          <w:szCs w:val="20"/>
        </w:rPr>
        <w:t>Giering</w:t>
      </w:r>
      <w:proofErr w:type="spellEnd"/>
      <w:r w:rsidR="00991FA5">
        <w:rPr>
          <w:rFonts w:ascii="Times New Roman" w:hAnsi="Times New Roman" w:cs="Times New Roman"/>
          <w:sz w:val="20"/>
          <w:szCs w:val="20"/>
        </w:rPr>
        <w:t xml:space="preserve"> 2001; </w:t>
      </w:r>
      <w:proofErr w:type="spellStart"/>
      <w:r w:rsidR="00991FA5">
        <w:rPr>
          <w:rFonts w:ascii="Times New Roman" w:hAnsi="Times New Roman" w:cs="Times New Roman"/>
          <w:sz w:val="20"/>
          <w:szCs w:val="20"/>
        </w:rPr>
        <w:t>Ooko</w:t>
      </w:r>
      <w:proofErr w:type="spellEnd"/>
      <w:r w:rsidR="00991FA5">
        <w:rPr>
          <w:rFonts w:ascii="Times New Roman" w:hAnsi="Times New Roman" w:cs="Times New Roman"/>
          <w:sz w:val="20"/>
          <w:szCs w:val="20"/>
        </w:rPr>
        <w:t xml:space="preserve"> et al.</w:t>
      </w:r>
      <w:r w:rsidR="00887644" w:rsidRPr="000F3E91">
        <w:rPr>
          <w:rFonts w:ascii="Times New Roman" w:hAnsi="Times New Roman" w:cs="Times New Roman"/>
          <w:sz w:val="20"/>
          <w:szCs w:val="20"/>
        </w:rPr>
        <w:t xml:space="preserve"> 2014).</w:t>
      </w:r>
      <w:r w:rsidR="00887644" w:rsidRPr="00280587">
        <w:rPr>
          <w:sz w:val="20"/>
          <w:szCs w:val="20"/>
        </w:rPr>
        <w:t xml:space="preserve"> </w:t>
      </w:r>
    </w:p>
    <w:p w:rsidR="00081753" w:rsidRPr="00280587" w:rsidRDefault="00081753" w:rsidP="00280587">
      <w:pPr>
        <w:pStyle w:val="NoSpacing"/>
        <w:spacing w:line="276" w:lineRule="auto"/>
        <w:jc w:val="both"/>
        <w:rPr>
          <w:rFonts w:ascii="Times New Roman" w:hAnsi="Times New Roman" w:cs="Times New Roman"/>
          <w:sz w:val="20"/>
          <w:szCs w:val="20"/>
        </w:rPr>
      </w:pPr>
    </w:p>
    <w:p w:rsidR="00743520" w:rsidRPr="00280587" w:rsidRDefault="00743520" w:rsidP="00280587">
      <w:pPr>
        <w:spacing w:line="276" w:lineRule="auto"/>
        <w:jc w:val="both"/>
        <w:rPr>
          <w:sz w:val="20"/>
          <w:szCs w:val="20"/>
        </w:rPr>
      </w:pPr>
      <w:r w:rsidRPr="00280587">
        <w:rPr>
          <w:sz w:val="20"/>
          <w:szCs w:val="20"/>
        </w:rPr>
        <w:t>These findings</w:t>
      </w:r>
      <w:r w:rsidR="00887644" w:rsidRPr="00280587">
        <w:rPr>
          <w:sz w:val="20"/>
          <w:szCs w:val="20"/>
        </w:rPr>
        <w:t xml:space="preserve"> suggest that gender and age are most likely to be unique demographic factors in influencing mobile</w:t>
      </w:r>
      <w:r w:rsidRPr="00280587">
        <w:rPr>
          <w:sz w:val="20"/>
          <w:szCs w:val="20"/>
        </w:rPr>
        <w:t xml:space="preserve"> subscriber </w:t>
      </w:r>
      <w:proofErr w:type="spellStart"/>
      <w:r w:rsidR="00887644" w:rsidRPr="00280587">
        <w:rPr>
          <w:sz w:val="20"/>
          <w:szCs w:val="20"/>
        </w:rPr>
        <w:t>behaviour</w:t>
      </w:r>
      <w:proofErr w:type="spellEnd"/>
      <w:r w:rsidR="00887644" w:rsidRPr="00280587">
        <w:rPr>
          <w:sz w:val="20"/>
          <w:szCs w:val="20"/>
        </w:rPr>
        <w:t xml:space="preserve"> towards MNP adoption in Ghana. However, age appears to be very important demographic factor</w:t>
      </w:r>
      <w:r w:rsidR="00A701E3">
        <w:rPr>
          <w:sz w:val="20"/>
          <w:szCs w:val="20"/>
        </w:rPr>
        <w:t xml:space="preserve"> that</w:t>
      </w:r>
      <w:r w:rsidR="00887644" w:rsidRPr="00280587">
        <w:rPr>
          <w:sz w:val="20"/>
          <w:szCs w:val="20"/>
        </w:rPr>
        <w:t xml:space="preserve"> might influence consumer </w:t>
      </w:r>
      <w:proofErr w:type="spellStart"/>
      <w:r w:rsidR="00887644" w:rsidRPr="00280587">
        <w:rPr>
          <w:sz w:val="20"/>
          <w:szCs w:val="20"/>
        </w:rPr>
        <w:t>behaviour</w:t>
      </w:r>
      <w:proofErr w:type="spellEnd"/>
      <w:r w:rsidR="00887644" w:rsidRPr="00280587">
        <w:rPr>
          <w:sz w:val="20"/>
          <w:szCs w:val="20"/>
        </w:rPr>
        <w:t xml:space="preserve"> towards the adoption of MNP among mobile subscribers in both developed and developing countries.</w:t>
      </w:r>
    </w:p>
    <w:p w:rsidR="0011760A" w:rsidRPr="00280587" w:rsidRDefault="0011760A" w:rsidP="00280587">
      <w:pPr>
        <w:pStyle w:val="NoSpacing"/>
        <w:spacing w:line="276" w:lineRule="auto"/>
        <w:jc w:val="both"/>
        <w:rPr>
          <w:rFonts w:ascii="Times New Roman" w:hAnsi="Times New Roman" w:cs="Times New Roman"/>
          <w:sz w:val="20"/>
          <w:szCs w:val="20"/>
        </w:rPr>
      </w:pPr>
    </w:p>
    <w:p w:rsidR="001F4D0A" w:rsidRPr="001D01CA" w:rsidRDefault="007F2A81" w:rsidP="00280587">
      <w:pPr>
        <w:pStyle w:val="NoSpacing"/>
        <w:spacing w:line="276" w:lineRule="auto"/>
        <w:jc w:val="both"/>
        <w:rPr>
          <w:rFonts w:ascii="Times New Roman" w:hAnsi="Times New Roman" w:cs="Times New Roman"/>
          <w:b/>
          <w:sz w:val="24"/>
          <w:szCs w:val="20"/>
        </w:rPr>
      </w:pPr>
      <w:r w:rsidRPr="001D01CA">
        <w:rPr>
          <w:rFonts w:ascii="Times New Roman" w:hAnsi="Times New Roman" w:cs="Times New Roman"/>
          <w:b/>
          <w:sz w:val="24"/>
          <w:szCs w:val="20"/>
        </w:rPr>
        <w:t>Implications of findings</w:t>
      </w:r>
    </w:p>
    <w:p w:rsidR="001F4D0A" w:rsidRPr="001D01CA" w:rsidRDefault="001F4D0A" w:rsidP="00280587">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Theoretical contribution</w:t>
      </w:r>
    </w:p>
    <w:p w:rsidR="00A3140D" w:rsidRPr="00280587" w:rsidRDefault="001F4D0A"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 xml:space="preserve">In spite of the fact that the present paper focused more on managerial relevance, it has some theoretical significance as well. </w:t>
      </w:r>
      <w:r w:rsidR="00A3140D" w:rsidRPr="00280587">
        <w:rPr>
          <w:rFonts w:ascii="Times New Roman" w:hAnsi="Times New Roman" w:cs="Times New Roman"/>
          <w:sz w:val="20"/>
          <w:szCs w:val="20"/>
        </w:rPr>
        <w:t xml:space="preserve">Theoretically, the paper provides empirical evidence of the nature of consumer </w:t>
      </w:r>
      <w:proofErr w:type="spellStart"/>
      <w:r w:rsidR="00A3140D" w:rsidRPr="00280587">
        <w:rPr>
          <w:rFonts w:ascii="Times New Roman" w:hAnsi="Times New Roman" w:cs="Times New Roman"/>
          <w:sz w:val="20"/>
          <w:szCs w:val="20"/>
        </w:rPr>
        <w:t>behaviour</w:t>
      </w:r>
      <w:proofErr w:type="spellEnd"/>
      <w:r w:rsidR="00A3140D" w:rsidRPr="00280587">
        <w:rPr>
          <w:rFonts w:ascii="Times New Roman" w:hAnsi="Times New Roman" w:cs="Times New Roman"/>
          <w:sz w:val="20"/>
          <w:szCs w:val="20"/>
        </w:rPr>
        <w:t xml:space="preserve"> towards MNP adoption in mobile telecoms in general and GMTI in particular</w:t>
      </w:r>
      <w:r w:rsidR="002E16B1" w:rsidRPr="00280587">
        <w:rPr>
          <w:rFonts w:ascii="Times New Roman" w:hAnsi="Times New Roman" w:cs="Times New Roman"/>
          <w:sz w:val="20"/>
          <w:szCs w:val="20"/>
        </w:rPr>
        <w:t xml:space="preserve">, and how consumer demography influences consumer </w:t>
      </w:r>
      <w:proofErr w:type="spellStart"/>
      <w:r w:rsidR="002E16B1" w:rsidRPr="00280587">
        <w:rPr>
          <w:rFonts w:ascii="Times New Roman" w:hAnsi="Times New Roman" w:cs="Times New Roman"/>
          <w:sz w:val="20"/>
          <w:szCs w:val="20"/>
        </w:rPr>
        <w:t>behaviour</w:t>
      </w:r>
      <w:proofErr w:type="spellEnd"/>
      <w:r w:rsidR="002E16B1" w:rsidRPr="00280587">
        <w:rPr>
          <w:rFonts w:ascii="Times New Roman" w:hAnsi="Times New Roman" w:cs="Times New Roman"/>
          <w:sz w:val="20"/>
          <w:szCs w:val="20"/>
        </w:rPr>
        <w:t xml:space="preserve"> towards MNP adoption</w:t>
      </w:r>
      <w:r w:rsidR="00A3140D" w:rsidRPr="00280587">
        <w:rPr>
          <w:rFonts w:ascii="Times New Roman" w:hAnsi="Times New Roman" w:cs="Times New Roman"/>
          <w:sz w:val="20"/>
          <w:szCs w:val="20"/>
        </w:rPr>
        <w:t>. This contributions is two-fold. First it has helped increase knowledge of MNP in developing country SSA context. Second, the consistency and deviations of the findings from existing studies on MNP provide avenues for further development of theoretical models to enhance scholars’ understanding of MNP adoption in general.</w:t>
      </w:r>
    </w:p>
    <w:p w:rsidR="000A0026" w:rsidRPr="00280587" w:rsidRDefault="000A0026" w:rsidP="00280587">
      <w:pPr>
        <w:pStyle w:val="NoSpacing"/>
        <w:spacing w:line="276" w:lineRule="auto"/>
        <w:jc w:val="both"/>
        <w:rPr>
          <w:rFonts w:ascii="Times New Roman" w:hAnsi="Times New Roman" w:cs="Times New Roman"/>
          <w:sz w:val="20"/>
          <w:szCs w:val="20"/>
        </w:rPr>
      </w:pPr>
    </w:p>
    <w:p w:rsidR="001F4D0A" w:rsidRPr="00280587" w:rsidRDefault="000A0026"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A</w:t>
      </w:r>
      <w:r w:rsidR="001F4D0A" w:rsidRPr="00280587">
        <w:rPr>
          <w:rFonts w:ascii="Times New Roman" w:hAnsi="Times New Roman" w:cs="Times New Roman"/>
          <w:sz w:val="20"/>
          <w:szCs w:val="20"/>
        </w:rPr>
        <w:t>s pointed out in the literature review, relatively few studies have been done in MNP in developin</w:t>
      </w:r>
      <w:r w:rsidR="00991FA5">
        <w:rPr>
          <w:rFonts w:ascii="Times New Roman" w:hAnsi="Times New Roman" w:cs="Times New Roman"/>
          <w:sz w:val="20"/>
          <w:szCs w:val="20"/>
        </w:rPr>
        <w:t xml:space="preserve">g country context (e.g., </w:t>
      </w:r>
      <w:proofErr w:type="spellStart"/>
      <w:r w:rsidR="00991FA5">
        <w:rPr>
          <w:rFonts w:ascii="Times New Roman" w:hAnsi="Times New Roman" w:cs="Times New Roman"/>
          <w:sz w:val="20"/>
          <w:szCs w:val="20"/>
        </w:rPr>
        <w:t>Chweya</w:t>
      </w:r>
      <w:proofErr w:type="spellEnd"/>
      <w:r w:rsidR="00991FA5">
        <w:rPr>
          <w:rFonts w:ascii="Times New Roman" w:hAnsi="Times New Roman" w:cs="Times New Roman"/>
          <w:sz w:val="20"/>
          <w:szCs w:val="20"/>
        </w:rPr>
        <w:t xml:space="preserve"> 2013; </w:t>
      </w:r>
      <w:proofErr w:type="spellStart"/>
      <w:r w:rsidR="00991FA5">
        <w:rPr>
          <w:rFonts w:ascii="Times New Roman" w:hAnsi="Times New Roman" w:cs="Times New Roman"/>
          <w:sz w:val="20"/>
          <w:szCs w:val="20"/>
        </w:rPr>
        <w:t>Dube</w:t>
      </w:r>
      <w:proofErr w:type="spellEnd"/>
      <w:r w:rsidR="00991FA5">
        <w:rPr>
          <w:rFonts w:ascii="Times New Roman" w:hAnsi="Times New Roman" w:cs="Times New Roman"/>
          <w:sz w:val="20"/>
          <w:szCs w:val="20"/>
        </w:rPr>
        <w:t xml:space="preserve"> 2011; </w:t>
      </w:r>
      <w:proofErr w:type="spellStart"/>
      <w:r w:rsidR="00991FA5">
        <w:rPr>
          <w:rFonts w:ascii="Times New Roman" w:hAnsi="Times New Roman" w:cs="Times New Roman"/>
          <w:sz w:val="20"/>
          <w:szCs w:val="20"/>
        </w:rPr>
        <w:t>Odunaike</w:t>
      </w:r>
      <w:proofErr w:type="spellEnd"/>
      <w:r w:rsidR="001F4D0A" w:rsidRPr="00280587">
        <w:rPr>
          <w:rFonts w:ascii="Times New Roman" w:hAnsi="Times New Roman" w:cs="Times New Roman"/>
          <w:sz w:val="20"/>
          <w:szCs w:val="20"/>
        </w:rPr>
        <w:t xml:space="preserve"> </w:t>
      </w:r>
      <w:r w:rsidR="00A3140D" w:rsidRPr="00280587">
        <w:rPr>
          <w:rFonts w:ascii="Times New Roman" w:hAnsi="Times New Roman" w:cs="Times New Roman"/>
          <w:sz w:val="20"/>
          <w:szCs w:val="20"/>
        </w:rPr>
        <w:t xml:space="preserve">2010; </w:t>
      </w:r>
      <w:proofErr w:type="spellStart"/>
      <w:r w:rsidR="00A3140D" w:rsidRPr="00280587">
        <w:rPr>
          <w:rFonts w:ascii="Times New Roman" w:hAnsi="Times New Roman" w:cs="Times New Roman"/>
          <w:sz w:val="20"/>
          <w:szCs w:val="20"/>
        </w:rPr>
        <w:t>Tiamiyu</w:t>
      </w:r>
      <w:proofErr w:type="spellEnd"/>
      <w:r w:rsidR="00A3140D" w:rsidRPr="00280587">
        <w:rPr>
          <w:rFonts w:ascii="Times New Roman" w:hAnsi="Times New Roman" w:cs="Times New Roman"/>
          <w:sz w:val="20"/>
          <w:szCs w:val="20"/>
        </w:rPr>
        <w:t xml:space="preserve"> </w:t>
      </w:r>
      <w:r w:rsidR="00646D41">
        <w:rPr>
          <w:rFonts w:ascii="Times New Roman" w:hAnsi="Times New Roman" w:cs="Times New Roman"/>
          <w:sz w:val="20"/>
          <w:szCs w:val="20"/>
        </w:rPr>
        <w:t>and</w:t>
      </w:r>
      <w:r w:rsidR="00A3140D" w:rsidRPr="00280587">
        <w:rPr>
          <w:rFonts w:ascii="Times New Roman" w:hAnsi="Times New Roman" w:cs="Times New Roman"/>
          <w:sz w:val="20"/>
          <w:szCs w:val="20"/>
        </w:rPr>
        <w:t xml:space="preserve"> </w:t>
      </w:r>
      <w:proofErr w:type="spellStart"/>
      <w:r w:rsidR="00A3140D" w:rsidRPr="00280587">
        <w:rPr>
          <w:rFonts w:ascii="Times New Roman" w:hAnsi="Times New Roman" w:cs="Times New Roman"/>
          <w:sz w:val="20"/>
          <w:szCs w:val="20"/>
        </w:rPr>
        <w:t>Mejabi</w:t>
      </w:r>
      <w:proofErr w:type="spellEnd"/>
      <w:r w:rsidR="00A3140D" w:rsidRPr="00280587">
        <w:rPr>
          <w:rFonts w:ascii="Times New Roman" w:hAnsi="Times New Roman" w:cs="Times New Roman"/>
          <w:sz w:val="20"/>
          <w:szCs w:val="20"/>
        </w:rPr>
        <w:t xml:space="preserve"> 2012). </w:t>
      </w:r>
      <w:r w:rsidR="001F4D0A" w:rsidRPr="00280587">
        <w:rPr>
          <w:rFonts w:ascii="Times New Roman" w:hAnsi="Times New Roman" w:cs="Times New Roman"/>
          <w:sz w:val="20"/>
          <w:szCs w:val="20"/>
        </w:rPr>
        <w:t xml:space="preserve">In Ghana, while existing literature on MNP has focused only on a review of MNP and the implementation architecture, relying mostly on secondary data provided by NCA (e.g. </w:t>
      </w:r>
      <w:proofErr w:type="spellStart"/>
      <w:r w:rsidR="001F4D0A" w:rsidRPr="00280587">
        <w:rPr>
          <w:rFonts w:ascii="Times New Roman" w:hAnsi="Times New Roman" w:cs="Times New Roman"/>
          <w:sz w:val="20"/>
          <w:szCs w:val="20"/>
        </w:rPr>
        <w:t>Agyeku</w:t>
      </w:r>
      <w:r w:rsidR="00991FA5">
        <w:rPr>
          <w:rFonts w:ascii="Times New Roman" w:hAnsi="Times New Roman" w:cs="Times New Roman"/>
          <w:sz w:val="20"/>
          <w:szCs w:val="20"/>
        </w:rPr>
        <w:t>m</w:t>
      </w:r>
      <w:proofErr w:type="spellEnd"/>
      <w:r w:rsidR="00991FA5">
        <w:rPr>
          <w:rFonts w:ascii="Times New Roman" w:hAnsi="Times New Roman" w:cs="Times New Roman"/>
          <w:sz w:val="20"/>
          <w:szCs w:val="20"/>
        </w:rPr>
        <w:t xml:space="preserve"> et al. 2013; </w:t>
      </w:r>
      <w:proofErr w:type="spellStart"/>
      <w:r w:rsidR="00991FA5">
        <w:rPr>
          <w:rFonts w:ascii="Times New Roman" w:hAnsi="Times New Roman" w:cs="Times New Roman"/>
          <w:sz w:val="20"/>
          <w:szCs w:val="20"/>
        </w:rPr>
        <w:t>Larkotey</w:t>
      </w:r>
      <w:proofErr w:type="spellEnd"/>
      <w:r w:rsidR="00991FA5">
        <w:rPr>
          <w:rFonts w:ascii="Times New Roman" w:hAnsi="Times New Roman" w:cs="Times New Roman"/>
          <w:sz w:val="20"/>
          <w:szCs w:val="20"/>
        </w:rPr>
        <w:t xml:space="preserve"> et al.</w:t>
      </w:r>
      <w:r w:rsidR="001F4D0A" w:rsidRPr="00280587">
        <w:rPr>
          <w:rFonts w:ascii="Times New Roman" w:hAnsi="Times New Roman" w:cs="Times New Roman"/>
          <w:sz w:val="20"/>
          <w:szCs w:val="20"/>
        </w:rPr>
        <w:t xml:space="preserve"> 2012), the present paper has contributed to increasing our theoretical understanding of some of the key consumer </w:t>
      </w:r>
      <w:proofErr w:type="spellStart"/>
      <w:r w:rsidR="001F4D0A" w:rsidRPr="00280587">
        <w:rPr>
          <w:rFonts w:ascii="Times New Roman" w:hAnsi="Times New Roman" w:cs="Times New Roman"/>
          <w:sz w:val="20"/>
          <w:szCs w:val="20"/>
        </w:rPr>
        <w:t>behaviour</w:t>
      </w:r>
      <w:proofErr w:type="spellEnd"/>
      <w:r w:rsidR="001F4D0A" w:rsidRPr="00280587">
        <w:rPr>
          <w:rFonts w:ascii="Times New Roman" w:hAnsi="Times New Roman" w:cs="Times New Roman"/>
          <w:sz w:val="20"/>
          <w:szCs w:val="20"/>
        </w:rPr>
        <w:t xml:space="preserve"> factors related to the adoption of MNP in GMTI. The fact that this study relied on empirical data from consumer perspective adds to the importance of the results as basis for developing evidence-based policies and strategies for managing MNP in SSA and Ghana in particular.  </w:t>
      </w:r>
    </w:p>
    <w:p w:rsidR="000A0026" w:rsidRPr="00280587" w:rsidRDefault="000A0026" w:rsidP="00280587">
      <w:pPr>
        <w:pStyle w:val="NoSpacing"/>
        <w:spacing w:line="276" w:lineRule="auto"/>
        <w:jc w:val="both"/>
        <w:rPr>
          <w:rFonts w:ascii="Times New Roman" w:hAnsi="Times New Roman" w:cs="Times New Roman"/>
          <w:sz w:val="20"/>
          <w:szCs w:val="20"/>
        </w:rPr>
      </w:pPr>
    </w:p>
    <w:p w:rsidR="001F4D0A" w:rsidRPr="001D01CA" w:rsidRDefault="00C71870" w:rsidP="00280587">
      <w:pPr>
        <w:pStyle w:val="NoSpacing"/>
        <w:spacing w:line="276" w:lineRule="auto"/>
        <w:jc w:val="both"/>
        <w:rPr>
          <w:rFonts w:ascii="Times New Roman" w:hAnsi="Times New Roman" w:cs="Times New Roman"/>
          <w:i/>
          <w:sz w:val="24"/>
          <w:szCs w:val="20"/>
        </w:rPr>
      </w:pPr>
      <w:r w:rsidRPr="001D01CA">
        <w:rPr>
          <w:rFonts w:ascii="Times New Roman" w:hAnsi="Times New Roman" w:cs="Times New Roman"/>
          <w:i/>
          <w:sz w:val="24"/>
          <w:szCs w:val="20"/>
        </w:rPr>
        <w:t>Managerial</w:t>
      </w:r>
      <w:r w:rsidR="00280587" w:rsidRPr="001D01CA">
        <w:rPr>
          <w:rFonts w:ascii="Times New Roman" w:hAnsi="Times New Roman" w:cs="Times New Roman"/>
          <w:i/>
          <w:sz w:val="24"/>
          <w:szCs w:val="20"/>
        </w:rPr>
        <w:t xml:space="preserve"> contribution</w:t>
      </w:r>
    </w:p>
    <w:p w:rsidR="002E03B4" w:rsidRPr="00280587" w:rsidRDefault="002E03B4" w:rsidP="00280587">
      <w:pPr>
        <w:pStyle w:val="NoSpacing"/>
        <w:spacing w:line="276" w:lineRule="auto"/>
        <w:jc w:val="both"/>
        <w:rPr>
          <w:rFonts w:ascii="Times New Roman"/>
          <w:sz w:val="20"/>
          <w:szCs w:val="20"/>
        </w:rPr>
      </w:pPr>
      <w:r w:rsidRPr="00280587">
        <w:rPr>
          <w:rFonts w:ascii="Times New Roman"/>
          <w:sz w:val="20"/>
          <w:szCs w:val="20"/>
        </w:rPr>
        <w:t>T</w:t>
      </w:r>
      <w:r w:rsidR="0011760A" w:rsidRPr="00280587">
        <w:rPr>
          <w:rFonts w:ascii="Times New Roman"/>
          <w:sz w:val="20"/>
          <w:szCs w:val="20"/>
        </w:rPr>
        <w:t>he findings suggest four</w:t>
      </w:r>
      <w:r w:rsidRPr="00280587">
        <w:rPr>
          <w:rFonts w:ascii="Times New Roman"/>
          <w:sz w:val="20"/>
          <w:szCs w:val="20"/>
        </w:rPr>
        <w:t xml:space="preserve"> important areas of managerial implications. Generally, there is the need </w:t>
      </w:r>
      <w:r w:rsidR="00A701E3">
        <w:rPr>
          <w:rFonts w:ascii="Times New Roman"/>
          <w:sz w:val="20"/>
          <w:szCs w:val="20"/>
        </w:rPr>
        <w:t xml:space="preserve">for </w:t>
      </w:r>
      <w:r w:rsidRPr="00280587">
        <w:rPr>
          <w:rFonts w:ascii="Times New Roman"/>
          <w:sz w:val="20"/>
          <w:szCs w:val="20"/>
        </w:rPr>
        <w:t>management, mobile telecoms and industry regulators, to promote MNP adoption through marketing promotion, consumer education and by reducing other switching barriers in order to reap the full benefit of MNP implementation</w:t>
      </w:r>
      <w:r w:rsidR="0012057B" w:rsidRPr="00280587">
        <w:rPr>
          <w:rFonts w:ascii="Times New Roman"/>
          <w:sz w:val="20"/>
          <w:szCs w:val="20"/>
        </w:rPr>
        <w:t xml:space="preserve"> by</w:t>
      </w:r>
      <w:r w:rsidRPr="00280587">
        <w:rPr>
          <w:rFonts w:ascii="Times New Roman"/>
          <w:sz w:val="20"/>
          <w:szCs w:val="20"/>
        </w:rPr>
        <w:t xml:space="preserve"> </w:t>
      </w:r>
      <w:r w:rsidR="0012057B" w:rsidRPr="00280587">
        <w:rPr>
          <w:rFonts w:ascii="Times New Roman"/>
          <w:sz w:val="20"/>
          <w:szCs w:val="20"/>
        </w:rPr>
        <w:t>service providers and regulators, its</w:t>
      </w:r>
      <w:r w:rsidRPr="00280587">
        <w:rPr>
          <w:rFonts w:ascii="Times New Roman"/>
          <w:sz w:val="20"/>
          <w:szCs w:val="20"/>
        </w:rPr>
        <w:t xml:space="preserve"> adoption by </w:t>
      </w:r>
      <w:r w:rsidR="0012057B" w:rsidRPr="00280587">
        <w:rPr>
          <w:rFonts w:ascii="Times New Roman"/>
          <w:sz w:val="20"/>
          <w:szCs w:val="20"/>
        </w:rPr>
        <w:t>consumers.</w:t>
      </w:r>
      <w:r w:rsidR="00991FA5">
        <w:rPr>
          <w:rFonts w:ascii="Times New Roman"/>
          <w:sz w:val="20"/>
          <w:szCs w:val="20"/>
        </w:rPr>
        <w:t xml:space="preserve">  </w:t>
      </w:r>
    </w:p>
    <w:p w:rsidR="002E03B4" w:rsidRPr="00280587" w:rsidRDefault="0011760A" w:rsidP="00280587">
      <w:pPr>
        <w:pStyle w:val="NoSpacing"/>
        <w:spacing w:line="276" w:lineRule="auto"/>
        <w:jc w:val="both"/>
        <w:rPr>
          <w:rFonts w:ascii="Times New Roman"/>
          <w:sz w:val="20"/>
          <w:szCs w:val="20"/>
        </w:rPr>
      </w:pPr>
      <w:r w:rsidRPr="00280587">
        <w:rPr>
          <w:rFonts w:ascii="Times New Roman"/>
          <w:sz w:val="20"/>
          <w:szCs w:val="20"/>
        </w:rPr>
        <w:t>First</w:t>
      </w:r>
      <w:r w:rsidR="002E03B4" w:rsidRPr="00280587">
        <w:rPr>
          <w:rFonts w:ascii="Times New Roman"/>
          <w:sz w:val="20"/>
          <w:szCs w:val="20"/>
        </w:rPr>
        <w:t xml:space="preserve">, in order to achieve the desired MNP objectives of facilitating switching and increasing competition in the mobile telecom industry, both industry regulators and individual network service providers should put in collaborative effort to encourage consumer adoption of the MNP policy through effective marketing promotional activities. Such promotional activities should include the use of all available media such as TV broadcast, consumer networks, consumer welfare symposia, radio and FM stations, internet and text messaging, viral marketing, advertisement and </w:t>
      </w:r>
      <w:r w:rsidR="002E03B4" w:rsidRPr="00280587">
        <w:rPr>
          <w:rFonts w:ascii="Times New Roman"/>
          <w:sz w:val="20"/>
          <w:szCs w:val="20"/>
        </w:rPr>
        <w:lastRenderedPageBreak/>
        <w:t>event sponsorship avenues, creating online forums, chats, social network pages and complaint channels for MNP, among others.</w:t>
      </w:r>
    </w:p>
    <w:p w:rsidR="002E03B4" w:rsidRPr="00280587" w:rsidRDefault="002E03B4" w:rsidP="00280587">
      <w:pPr>
        <w:pStyle w:val="NoSpacing"/>
        <w:spacing w:line="276" w:lineRule="auto"/>
        <w:jc w:val="both"/>
        <w:rPr>
          <w:rFonts w:ascii="Times New Roman"/>
          <w:sz w:val="20"/>
          <w:szCs w:val="20"/>
        </w:rPr>
      </w:pPr>
      <w:r w:rsidRPr="00280587">
        <w:rPr>
          <w:rFonts w:ascii="Times New Roman"/>
          <w:sz w:val="20"/>
          <w:szCs w:val="20"/>
        </w:rPr>
        <w:t xml:space="preserve"> </w:t>
      </w:r>
    </w:p>
    <w:p w:rsidR="002E03B4" w:rsidRPr="00280587" w:rsidRDefault="002E03B4" w:rsidP="00280587">
      <w:pPr>
        <w:pStyle w:val="NoSpacing"/>
        <w:spacing w:line="276" w:lineRule="auto"/>
        <w:jc w:val="both"/>
        <w:rPr>
          <w:rFonts w:ascii="Times New Roman"/>
          <w:sz w:val="20"/>
          <w:szCs w:val="20"/>
        </w:rPr>
      </w:pPr>
      <w:r w:rsidRPr="00280587">
        <w:rPr>
          <w:rFonts w:ascii="Times New Roman"/>
          <w:sz w:val="20"/>
          <w:szCs w:val="20"/>
        </w:rPr>
        <w:t xml:space="preserve">Second, the findings provide some hope that, even though in practice consumers may have some </w:t>
      </w:r>
      <w:proofErr w:type="spellStart"/>
      <w:r w:rsidRPr="00280587">
        <w:rPr>
          <w:rFonts w:ascii="Times New Roman"/>
          <w:sz w:val="20"/>
          <w:szCs w:val="20"/>
        </w:rPr>
        <w:t>unfavourable</w:t>
      </w:r>
      <w:proofErr w:type="spellEnd"/>
      <w:r w:rsidRPr="00280587">
        <w:rPr>
          <w:rFonts w:ascii="Times New Roman"/>
          <w:sz w:val="20"/>
          <w:szCs w:val="20"/>
        </w:rPr>
        <w:t xml:space="preserve"> </w:t>
      </w:r>
      <w:proofErr w:type="spellStart"/>
      <w:r w:rsidRPr="00280587">
        <w:rPr>
          <w:rFonts w:ascii="Times New Roman"/>
          <w:sz w:val="20"/>
          <w:szCs w:val="20"/>
        </w:rPr>
        <w:t>behaviour</w:t>
      </w:r>
      <w:proofErr w:type="spellEnd"/>
      <w:r w:rsidRPr="00280587">
        <w:rPr>
          <w:rFonts w:ascii="Times New Roman"/>
          <w:sz w:val="20"/>
          <w:szCs w:val="20"/>
        </w:rPr>
        <w:t xml:space="preserve"> towards MNP, especially at the initial stages of its introduction as it is in Ghana, with the necessary consumer education, MNP could have positive results on consumer adoption of MNP and switching intentions.  Managerially, it implies that Ghana</w:t>
      </w:r>
      <w:r w:rsidRPr="00280587">
        <w:rPr>
          <w:rFonts w:ascii="Times New Roman"/>
          <w:sz w:val="20"/>
          <w:szCs w:val="20"/>
        </w:rPr>
        <w:t>’</w:t>
      </w:r>
      <w:r w:rsidRPr="00280587">
        <w:rPr>
          <w:rFonts w:ascii="Times New Roman"/>
          <w:sz w:val="20"/>
          <w:szCs w:val="20"/>
        </w:rPr>
        <w:t xml:space="preserve">s mobile telecom industry regulator, NCA, together with mobile network operators and all relevant stakeholders should make efforts to increase consumer education and knowledge of MNP policy and its adoption. In addition, industry regulator, NCA, mobile operators and other stakeholders should find ways of rewarding consumer for their loyalty towards MNP adoption and promotion in Ghana. In this regard, </w:t>
      </w:r>
      <w:proofErr w:type="spellStart"/>
      <w:r w:rsidRPr="00280587">
        <w:rPr>
          <w:rFonts w:ascii="Times New Roman"/>
          <w:sz w:val="20"/>
          <w:szCs w:val="20"/>
        </w:rPr>
        <w:t>Kangangi</w:t>
      </w:r>
      <w:proofErr w:type="spellEnd"/>
      <w:r w:rsidRPr="00280587">
        <w:rPr>
          <w:rFonts w:ascii="Times New Roman"/>
          <w:sz w:val="20"/>
          <w:szCs w:val="20"/>
        </w:rPr>
        <w:t xml:space="preserve"> (2011) maintain</w:t>
      </w:r>
      <w:r w:rsidR="00B71DD7">
        <w:rPr>
          <w:rFonts w:ascii="Times New Roman"/>
          <w:sz w:val="20"/>
          <w:szCs w:val="20"/>
        </w:rPr>
        <w:t>s</w:t>
      </w:r>
      <w:r w:rsidRPr="00280587">
        <w:rPr>
          <w:rFonts w:ascii="Times New Roman"/>
          <w:sz w:val="20"/>
          <w:szCs w:val="20"/>
        </w:rPr>
        <w:t xml:space="preserve"> that porting is likely to be high where marketing campaigns are intense.</w:t>
      </w:r>
    </w:p>
    <w:p w:rsidR="002E03B4" w:rsidRPr="00280587" w:rsidRDefault="002E03B4" w:rsidP="00280587">
      <w:pPr>
        <w:pStyle w:val="NoSpacing"/>
        <w:spacing w:line="276" w:lineRule="auto"/>
        <w:jc w:val="both"/>
        <w:rPr>
          <w:rFonts w:ascii="Times New Roman"/>
          <w:sz w:val="20"/>
          <w:szCs w:val="20"/>
        </w:rPr>
      </w:pPr>
    </w:p>
    <w:p w:rsidR="002E03B4" w:rsidRPr="00280587" w:rsidRDefault="002E03B4" w:rsidP="00280587">
      <w:pPr>
        <w:pStyle w:val="NoSpacing"/>
        <w:spacing w:line="276" w:lineRule="auto"/>
        <w:jc w:val="both"/>
        <w:rPr>
          <w:rFonts w:ascii="Times New Roman"/>
          <w:sz w:val="20"/>
          <w:szCs w:val="20"/>
        </w:rPr>
      </w:pPr>
      <w:r w:rsidRPr="00280587">
        <w:rPr>
          <w:rFonts w:ascii="Times New Roman"/>
          <w:sz w:val="20"/>
          <w:szCs w:val="20"/>
        </w:rPr>
        <w:t>Such education should provide consistent emphasis on the meaning of MNP, its benefits, porting process, information required of mobile subscribers for success porting process, designated places for porting, who to contact for porting and at what time periods, complaint avenu</w:t>
      </w:r>
      <w:r w:rsidR="00991FA5">
        <w:rPr>
          <w:rFonts w:ascii="Times New Roman"/>
          <w:sz w:val="20"/>
          <w:szCs w:val="20"/>
        </w:rPr>
        <w:t>es, among others (Nimako et al.</w:t>
      </w:r>
      <w:r w:rsidRPr="00280587">
        <w:rPr>
          <w:rFonts w:ascii="Times New Roman"/>
          <w:sz w:val="20"/>
          <w:szCs w:val="20"/>
        </w:rPr>
        <w:t xml:space="preserve"> 2014).  The consumer education could be a key factors in influencing positively consumers</w:t>
      </w:r>
      <w:r w:rsidRPr="00280587">
        <w:rPr>
          <w:rFonts w:ascii="Times New Roman"/>
          <w:sz w:val="20"/>
          <w:szCs w:val="20"/>
        </w:rPr>
        <w:t>’</w:t>
      </w:r>
      <w:r w:rsidRPr="00280587">
        <w:rPr>
          <w:rFonts w:ascii="Times New Roman"/>
          <w:sz w:val="20"/>
          <w:szCs w:val="20"/>
        </w:rPr>
        <w:t xml:space="preserve"> </w:t>
      </w:r>
      <w:proofErr w:type="spellStart"/>
      <w:r w:rsidRPr="00280587">
        <w:rPr>
          <w:rFonts w:ascii="Times New Roman"/>
          <w:sz w:val="20"/>
          <w:szCs w:val="20"/>
        </w:rPr>
        <w:t>behaviour</w:t>
      </w:r>
      <w:proofErr w:type="spellEnd"/>
      <w:r w:rsidRPr="00280587">
        <w:rPr>
          <w:rFonts w:ascii="Times New Roman"/>
          <w:sz w:val="20"/>
          <w:szCs w:val="20"/>
        </w:rPr>
        <w:t xml:space="preserve"> towards MNP in terms of level of knowledge, perceived usefulness, porting costs, positive attitude towards MNP, consumer curiosity to adopt MNP and switching efficacy. </w:t>
      </w:r>
    </w:p>
    <w:p w:rsidR="002E03B4" w:rsidRPr="00280587" w:rsidRDefault="002E03B4" w:rsidP="00280587">
      <w:pPr>
        <w:pStyle w:val="NoSpacing"/>
        <w:spacing w:line="276" w:lineRule="auto"/>
        <w:jc w:val="both"/>
        <w:rPr>
          <w:rFonts w:ascii="Times New Roman"/>
          <w:sz w:val="20"/>
          <w:szCs w:val="20"/>
        </w:rPr>
      </w:pPr>
    </w:p>
    <w:p w:rsidR="002E03B4" w:rsidRPr="00280587" w:rsidRDefault="002E03B4" w:rsidP="00280587">
      <w:pPr>
        <w:pStyle w:val="NoSpacing"/>
        <w:spacing w:line="276" w:lineRule="auto"/>
        <w:jc w:val="both"/>
        <w:rPr>
          <w:rFonts w:ascii="Times New Roman"/>
          <w:sz w:val="20"/>
          <w:szCs w:val="20"/>
        </w:rPr>
      </w:pPr>
      <w:r w:rsidRPr="00280587">
        <w:rPr>
          <w:rFonts w:ascii="Times New Roman"/>
          <w:sz w:val="20"/>
          <w:szCs w:val="20"/>
        </w:rPr>
        <w:t xml:space="preserve">As consumer education increases for MNP adoption, it could indirectly influence positively other consumer switching </w:t>
      </w:r>
      <w:proofErr w:type="spellStart"/>
      <w:r w:rsidRPr="00280587">
        <w:rPr>
          <w:rFonts w:ascii="Times New Roman"/>
          <w:sz w:val="20"/>
          <w:szCs w:val="20"/>
        </w:rPr>
        <w:t>behaviour</w:t>
      </w:r>
      <w:proofErr w:type="spellEnd"/>
      <w:r w:rsidRPr="00280587">
        <w:rPr>
          <w:rFonts w:ascii="Times New Roman"/>
          <w:sz w:val="20"/>
          <w:szCs w:val="20"/>
        </w:rPr>
        <w:t xml:space="preserve"> such as consumer attitude towards switching, perceived switching cost, peer influence to switch, among others, in order to achieve a ripple effect on consumer switching in general as expected for effective competition in mobile telecommunication industry developing countries, especially, GMTI.</w:t>
      </w:r>
    </w:p>
    <w:p w:rsidR="002E03B4" w:rsidRPr="00280587" w:rsidRDefault="002E03B4" w:rsidP="00280587">
      <w:pPr>
        <w:pStyle w:val="NoSpacing"/>
        <w:spacing w:line="276" w:lineRule="auto"/>
        <w:jc w:val="both"/>
        <w:rPr>
          <w:rFonts w:ascii="Times New Roman"/>
          <w:sz w:val="20"/>
          <w:szCs w:val="20"/>
        </w:rPr>
      </w:pPr>
    </w:p>
    <w:p w:rsidR="001C0F40" w:rsidRPr="00280587" w:rsidRDefault="002E03B4" w:rsidP="00280587">
      <w:pPr>
        <w:pStyle w:val="NoSpacing"/>
        <w:spacing w:line="276" w:lineRule="auto"/>
        <w:jc w:val="both"/>
        <w:rPr>
          <w:rFonts w:ascii="Times New Roman" w:hAnsi="Times New Roman" w:cs="Times New Roman"/>
          <w:sz w:val="20"/>
        </w:rPr>
      </w:pPr>
      <w:r w:rsidRPr="00280587">
        <w:rPr>
          <w:rFonts w:ascii="Times New Roman" w:hAnsi="Times New Roman" w:cs="Times New Roman"/>
          <w:sz w:val="20"/>
        </w:rPr>
        <w:t xml:space="preserve">Third, to encourage consumer adoption, mobile network providers and industry regulators should </w:t>
      </w:r>
      <w:proofErr w:type="spellStart"/>
      <w:r w:rsidRPr="00280587">
        <w:rPr>
          <w:rFonts w:ascii="Times New Roman" w:hAnsi="Times New Roman" w:cs="Times New Roman"/>
          <w:sz w:val="20"/>
        </w:rPr>
        <w:t>endeavour</w:t>
      </w:r>
      <w:proofErr w:type="spellEnd"/>
      <w:r w:rsidRPr="00280587">
        <w:rPr>
          <w:rFonts w:ascii="Times New Roman" w:hAnsi="Times New Roman" w:cs="Times New Roman"/>
          <w:sz w:val="20"/>
        </w:rPr>
        <w:t xml:space="preserve"> to reduce other switching barriers, especially long porting time and efforts that results in delays in porting process. </w:t>
      </w:r>
      <w:r w:rsidR="001C0F40" w:rsidRPr="00280587">
        <w:rPr>
          <w:rFonts w:ascii="Times New Roman" w:hAnsi="Times New Roman" w:cs="Times New Roman"/>
          <w:sz w:val="20"/>
        </w:rPr>
        <w:t>Delays in the porting process which is likely to negatively affect different types of customers and subscribers, since porting time has been found to induce significant effect on intention to switch through porting mobile number  (</w:t>
      </w:r>
      <w:proofErr w:type="spellStart"/>
      <w:r w:rsidR="00991FA5">
        <w:rPr>
          <w:rFonts w:ascii="Times New Roman" w:hAnsi="Times New Roman" w:cs="Times New Roman"/>
          <w:sz w:val="20"/>
        </w:rPr>
        <w:t>Ooko</w:t>
      </w:r>
      <w:proofErr w:type="spellEnd"/>
      <w:r w:rsidR="00991FA5">
        <w:rPr>
          <w:rFonts w:ascii="Times New Roman" w:hAnsi="Times New Roman" w:cs="Times New Roman"/>
          <w:sz w:val="20"/>
        </w:rPr>
        <w:t xml:space="preserve"> et al.</w:t>
      </w:r>
      <w:r w:rsidR="004479E1" w:rsidRPr="00280587">
        <w:rPr>
          <w:rFonts w:ascii="Times New Roman" w:hAnsi="Times New Roman" w:cs="Times New Roman"/>
          <w:sz w:val="20"/>
        </w:rPr>
        <w:t xml:space="preserve"> 2014)</w:t>
      </w:r>
      <w:r w:rsidR="001C0F40" w:rsidRPr="00280587">
        <w:rPr>
          <w:rFonts w:ascii="Times New Roman" w:hAnsi="Times New Roman" w:cs="Times New Roman"/>
          <w:sz w:val="20"/>
        </w:rPr>
        <w:t>. I</w:t>
      </w:r>
      <w:r w:rsidR="00991FA5">
        <w:rPr>
          <w:rFonts w:ascii="Times New Roman" w:hAnsi="Times New Roman" w:cs="Times New Roman"/>
          <w:sz w:val="20"/>
        </w:rPr>
        <w:t xml:space="preserve">n this regard, </w:t>
      </w:r>
      <w:proofErr w:type="spellStart"/>
      <w:r w:rsidR="00991FA5">
        <w:rPr>
          <w:rFonts w:ascii="Times New Roman" w:hAnsi="Times New Roman" w:cs="Times New Roman"/>
          <w:sz w:val="20"/>
        </w:rPr>
        <w:t>Chweya</w:t>
      </w:r>
      <w:proofErr w:type="spellEnd"/>
      <w:r w:rsidR="00991FA5">
        <w:rPr>
          <w:rFonts w:ascii="Times New Roman" w:hAnsi="Times New Roman" w:cs="Times New Roman"/>
          <w:sz w:val="20"/>
        </w:rPr>
        <w:t xml:space="preserve"> (2013, </w:t>
      </w:r>
      <w:r w:rsidR="00095F40">
        <w:rPr>
          <w:rFonts w:ascii="Times New Roman" w:hAnsi="Times New Roman" w:cs="Times New Roman"/>
          <w:sz w:val="20"/>
        </w:rPr>
        <w:t>p.</w:t>
      </w:r>
      <w:r w:rsidR="001C0F40" w:rsidRPr="00280587">
        <w:rPr>
          <w:rFonts w:ascii="Times New Roman" w:hAnsi="Times New Roman" w:cs="Times New Roman"/>
          <w:sz w:val="20"/>
        </w:rPr>
        <w:t xml:space="preserve">124) notes that in Kenya, “There have been cases in courts where customers accuse some providers of delays in porting hence loss of business.” </w:t>
      </w:r>
      <w:proofErr w:type="spellStart"/>
      <w:r w:rsidR="00991FA5">
        <w:rPr>
          <w:rFonts w:ascii="Times New Roman" w:hAnsi="Times New Roman" w:cs="Times New Roman"/>
          <w:sz w:val="20"/>
        </w:rPr>
        <w:t>Ooko</w:t>
      </w:r>
      <w:proofErr w:type="spellEnd"/>
      <w:r w:rsidR="00991FA5">
        <w:rPr>
          <w:rFonts w:ascii="Times New Roman" w:hAnsi="Times New Roman" w:cs="Times New Roman"/>
          <w:sz w:val="20"/>
        </w:rPr>
        <w:t xml:space="preserve"> et al. (2014,</w:t>
      </w:r>
      <w:r w:rsidR="00CA24AC" w:rsidRPr="00280587">
        <w:rPr>
          <w:rFonts w:ascii="Times New Roman" w:hAnsi="Times New Roman" w:cs="Times New Roman"/>
          <w:sz w:val="20"/>
        </w:rPr>
        <w:t xml:space="preserve"> </w:t>
      </w:r>
      <w:r w:rsidR="00095F40">
        <w:rPr>
          <w:rFonts w:ascii="Times New Roman" w:hAnsi="Times New Roman" w:cs="Times New Roman"/>
          <w:sz w:val="20"/>
        </w:rPr>
        <w:t xml:space="preserve">p. </w:t>
      </w:r>
      <w:r w:rsidR="00CA24AC" w:rsidRPr="00280587">
        <w:rPr>
          <w:rFonts w:ascii="Times New Roman" w:hAnsi="Times New Roman" w:cs="Times New Roman"/>
          <w:sz w:val="20"/>
        </w:rPr>
        <w:t>91)</w:t>
      </w:r>
      <w:r w:rsidR="004479E1" w:rsidRPr="00280587">
        <w:rPr>
          <w:rFonts w:ascii="Times New Roman" w:hAnsi="Times New Roman" w:cs="Times New Roman"/>
          <w:sz w:val="20"/>
        </w:rPr>
        <w:t xml:space="preserve"> also maintain</w:t>
      </w:r>
      <w:r w:rsidR="002C236A" w:rsidRPr="00280587">
        <w:rPr>
          <w:rFonts w:ascii="Times New Roman" w:hAnsi="Times New Roman" w:cs="Times New Roman"/>
          <w:sz w:val="20"/>
        </w:rPr>
        <w:t xml:space="preserve"> that, “</w:t>
      </w:r>
      <w:r w:rsidR="00F57340" w:rsidRPr="00280587">
        <w:rPr>
          <w:rFonts w:ascii="Times New Roman" w:hAnsi="Times New Roman" w:cs="Times New Roman"/>
          <w:sz w:val="20"/>
        </w:rPr>
        <w:t>increasing the speed of porting is cruci</w:t>
      </w:r>
      <w:r w:rsidR="002C236A" w:rsidRPr="00280587">
        <w:rPr>
          <w:rFonts w:ascii="Times New Roman" w:hAnsi="Times New Roman" w:cs="Times New Roman"/>
          <w:sz w:val="20"/>
        </w:rPr>
        <w:t>al for fostering the use of MNP, and that</w:t>
      </w:r>
      <w:r w:rsidR="00A701E3">
        <w:rPr>
          <w:rFonts w:ascii="Times New Roman" w:hAnsi="Times New Roman" w:cs="Times New Roman"/>
          <w:sz w:val="20"/>
        </w:rPr>
        <w:t xml:space="preserve"> p</w:t>
      </w:r>
      <w:r w:rsidR="00F57340" w:rsidRPr="00280587">
        <w:rPr>
          <w:rFonts w:ascii="Times New Roman" w:hAnsi="Times New Roman" w:cs="Times New Roman"/>
          <w:sz w:val="20"/>
        </w:rPr>
        <w:t>orting time depends both on the technical porting systems and on the willingness of networks to speed up the porting process.</w:t>
      </w:r>
      <w:r w:rsidR="002C236A" w:rsidRPr="00280587">
        <w:rPr>
          <w:rFonts w:ascii="Times New Roman" w:hAnsi="Times New Roman" w:cs="Times New Roman"/>
          <w:sz w:val="20"/>
        </w:rPr>
        <w:t>”</w:t>
      </w:r>
      <w:r w:rsidR="00F57340" w:rsidRPr="00280587">
        <w:rPr>
          <w:rFonts w:ascii="Times New Roman" w:hAnsi="Times New Roman" w:cs="Times New Roman"/>
          <w:sz w:val="20"/>
        </w:rPr>
        <w:t xml:space="preserve">  </w:t>
      </w:r>
      <w:r w:rsidRPr="00280587">
        <w:rPr>
          <w:rFonts w:ascii="Times New Roman" w:hAnsi="Times New Roman" w:cs="Times New Roman"/>
          <w:sz w:val="20"/>
        </w:rPr>
        <w:t>In Ghana, in spite of the fact that average porting speed has been stable around 5 minutes 25 sec</w:t>
      </w:r>
      <w:r w:rsidR="00991FA5">
        <w:rPr>
          <w:rFonts w:ascii="Times New Roman" w:hAnsi="Times New Roman" w:cs="Times New Roman"/>
          <w:sz w:val="20"/>
        </w:rPr>
        <w:t>onds between 2012 and 2013 (NCA</w:t>
      </w:r>
      <w:r w:rsidR="00095F40">
        <w:rPr>
          <w:rFonts w:ascii="Times New Roman" w:hAnsi="Times New Roman" w:cs="Times New Roman"/>
          <w:sz w:val="20"/>
        </w:rPr>
        <w:t>,</w:t>
      </w:r>
      <w:bookmarkStart w:id="0" w:name="_GoBack"/>
      <w:bookmarkEnd w:id="0"/>
      <w:r w:rsidRPr="00280587">
        <w:rPr>
          <w:rFonts w:ascii="Times New Roman" w:hAnsi="Times New Roman" w:cs="Times New Roman"/>
          <w:sz w:val="20"/>
        </w:rPr>
        <w:t xml:space="preserve"> 2013), consumers’ still perceived porting time to be high. The porting time and consumer efforts that results in delays and frustrations should be </w:t>
      </w:r>
      <w:r w:rsidR="00991FA5">
        <w:rPr>
          <w:rFonts w:ascii="Times New Roman" w:hAnsi="Times New Roman" w:cs="Times New Roman"/>
          <w:sz w:val="20"/>
        </w:rPr>
        <w:t>reduced considerably as done in</w:t>
      </w:r>
      <w:r w:rsidRPr="00280587">
        <w:rPr>
          <w:rFonts w:ascii="Times New Roman" w:hAnsi="Times New Roman" w:cs="Times New Roman"/>
          <w:sz w:val="20"/>
        </w:rPr>
        <w:t xml:space="preserve"> </w:t>
      </w:r>
      <w:proofErr w:type="spellStart"/>
      <w:r w:rsidRPr="00280587">
        <w:rPr>
          <w:rFonts w:ascii="Times New Roman" w:hAnsi="Times New Roman" w:cs="Times New Roman"/>
          <w:sz w:val="20"/>
        </w:rPr>
        <w:t>Astralia</w:t>
      </w:r>
      <w:proofErr w:type="spellEnd"/>
      <w:r w:rsidRPr="00280587">
        <w:rPr>
          <w:rFonts w:ascii="Times New Roman" w:hAnsi="Times New Roman" w:cs="Times New Roman"/>
          <w:sz w:val="20"/>
        </w:rPr>
        <w:t xml:space="preserve"> (3 minutes) and New Zealand (seconds) (</w:t>
      </w:r>
      <w:proofErr w:type="spellStart"/>
      <w:r w:rsidRPr="00280587">
        <w:rPr>
          <w:rFonts w:ascii="Times New Roman" w:hAnsi="Times New Roman" w:cs="Times New Roman"/>
          <w:sz w:val="20"/>
        </w:rPr>
        <w:t>Kangangi</w:t>
      </w:r>
      <w:proofErr w:type="spellEnd"/>
      <w:r w:rsidRPr="00280587">
        <w:rPr>
          <w:rFonts w:ascii="Times New Roman" w:hAnsi="Times New Roman" w:cs="Times New Roman"/>
          <w:sz w:val="20"/>
        </w:rPr>
        <w:t xml:space="preserve"> 2011).</w:t>
      </w:r>
      <w:r w:rsidR="001C0F40" w:rsidRPr="00280587">
        <w:rPr>
          <w:rFonts w:ascii="Times New Roman" w:hAnsi="Times New Roman" w:cs="Times New Roman"/>
          <w:sz w:val="20"/>
        </w:rPr>
        <w:t xml:space="preserve"> </w:t>
      </w:r>
      <w:r w:rsidR="009A20B8" w:rsidRPr="00280587">
        <w:rPr>
          <w:rFonts w:ascii="Times New Roman" w:hAnsi="Times New Roman" w:cs="Times New Roman"/>
          <w:sz w:val="20"/>
        </w:rPr>
        <w:t xml:space="preserve">It is, therefore, </w:t>
      </w:r>
      <w:r w:rsidR="001C0F40" w:rsidRPr="00280587">
        <w:rPr>
          <w:rFonts w:ascii="Times New Roman" w:hAnsi="Times New Roman" w:cs="Times New Roman"/>
          <w:sz w:val="20"/>
        </w:rPr>
        <w:t xml:space="preserve">recommended that industry regulators, mobile network operators and all relevant stakeholders who facilitate any aspect of the MNP porting process should </w:t>
      </w:r>
      <w:proofErr w:type="spellStart"/>
      <w:r w:rsidR="001C0F40" w:rsidRPr="00280587">
        <w:rPr>
          <w:rFonts w:ascii="Times New Roman" w:hAnsi="Times New Roman" w:cs="Times New Roman"/>
          <w:sz w:val="20"/>
        </w:rPr>
        <w:t>endeavour</w:t>
      </w:r>
      <w:proofErr w:type="spellEnd"/>
      <w:r w:rsidR="001C0F40" w:rsidRPr="00280587">
        <w:rPr>
          <w:rFonts w:ascii="Times New Roman" w:hAnsi="Times New Roman" w:cs="Times New Roman"/>
          <w:sz w:val="20"/>
        </w:rPr>
        <w:t xml:space="preserve"> to spe</w:t>
      </w:r>
      <w:r w:rsidR="00280587">
        <w:rPr>
          <w:rFonts w:ascii="Times New Roman" w:hAnsi="Times New Roman" w:cs="Times New Roman"/>
          <w:sz w:val="20"/>
        </w:rPr>
        <w:t>e</w:t>
      </w:r>
      <w:r w:rsidR="001C0F40" w:rsidRPr="00280587">
        <w:rPr>
          <w:rFonts w:ascii="Times New Roman" w:hAnsi="Times New Roman" w:cs="Times New Roman"/>
          <w:sz w:val="20"/>
        </w:rPr>
        <w:t>d up the porting process, make it more and more easier to complete within a insignificantly shorter period, and make purposeful attempts to reduce mobile subscribers’ effort in the whole porting process.</w:t>
      </w:r>
    </w:p>
    <w:p w:rsidR="002E03B4" w:rsidRPr="00280587" w:rsidRDefault="002E03B4" w:rsidP="00280587">
      <w:pPr>
        <w:pStyle w:val="NoSpacing"/>
        <w:spacing w:line="276" w:lineRule="auto"/>
        <w:jc w:val="both"/>
        <w:rPr>
          <w:rFonts w:ascii="Times New Roman"/>
          <w:sz w:val="20"/>
          <w:szCs w:val="20"/>
        </w:rPr>
      </w:pPr>
    </w:p>
    <w:p w:rsidR="0011760A" w:rsidRPr="00280587" w:rsidRDefault="0011760A" w:rsidP="00280587">
      <w:pPr>
        <w:pStyle w:val="NoSpacing"/>
        <w:spacing w:line="276" w:lineRule="auto"/>
        <w:jc w:val="both"/>
        <w:rPr>
          <w:rFonts w:ascii="Times New Roman" w:hAnsi="Times New Roman" w:cs="Times New Roman"/>
          <w:sz w:val="20"/>
          <w:szCs w:val="20"/>
        </w:rPr>
      </w:pPr>
      <w:r w:rsidRPr="00280587">
        <w:rPr>
          <w:rFonts w:ascii="Times New Roman" w:hAnsi="Times New Roman" w:cs="Times New Roman"/>
          <w:sz w:val="20"/>
          <w:szCs w:val="20"/>
        </w:rPr>
        <w:t xml:space="preserve">Fourth, the findings on the differences in consumer </w:t>
      </w:r>
      <w:proofErr w:type="spellStart"/>
      <w:r w:rsidRPr="00280587">
        <w:rPr>
          <w:rFonts w:ascii="Times New Roman" w:hAnsi="Times New Roman" w:cs="Times New Roman"/>
          <w:sz w:val="20"/>
          <w:szCs w:val="20"/>
        </w:rPr>
        <w:t>behaviour</w:t>
      </w:r>
      <w:proofErr w:type="spellEnd"/>
      <w:r w:rsidRPr="00280587">
        <w:rPr>
          <w:rFonts w:ascii="Times New Roman" w:hAnsi="Times New Roman" w:cs="Times New Roman"/>
          <w:sz w:val="20"/>
          <w:szCs w:val="20"/>
        </w:rPr>
        <w:t xml:space="preserve"> towards MNP in Ghana among various consumer demographic groups have implication for promotion and education on MNP by industry regulator and mobile telecom service providers. Notably communications and strategies to enhance consumer perception and attitude towards MNP adoption in Ghana should be gender-sensitive, and should take in</w:t>
      </w:r>
      <w:r w:rsidR="00A701E3">
        <w:rPr>
          <w:rFonts w:ascii="Times New Roman" w:hAnsi="Times New Roman" w:cs="Times New Roman"/>
          <w:sz w:val="20"/>
          <w:szCs w:val="20"/>
        </w:rPr>
        <w:t>to</w:t>
      </w:r>
      <w:r w:rsidRPr="00280587">
        <w:rPr>
          <w:rFonts w:ascii="Times New Roman" w:hAnsi="Times New Roman" w:cs="Times New Roman"/>
          <w:sz w:val="20"/>
          <w:szCs w:val="20"/>
        </w:rPr>
        <w:t xml:space="preserve"> consideration subscribers’ age, educational, income and marital status difference.</w:t>
      </w:r>
    </w:p>
    <w:p w:rsidR="00D6000C" w:rsidRPr="00280587" w:rsidRDefault="00D6000C" w:rsidP="00280587">
      <w:pPr>
        <w:pStyle w:val="NoSpacing"/>
        <w:spacing w:line="276" w:lineRule="auto"/>
        <w:jc w:val="both"/>
        <w:rPr>
          <w:rFonts w:ascii="Times New Roman"/>
          <w:sz w:val="20"/>
          <w:szCs w:val="20"/>
        </w:rPr>
      </w:pPr>
    </w:p>
    <w:p w:rsidR="001D01CA" w:rsidRDefault="001D01CA" w:rsidP="00280587">
      <w:pPr>
        <w:pStyle w:val="NoSpacing"/>
        <w:spacing w:line="276" w:lineRule="auto"/>
        <w:jc w:val="both"/>
        <w:rPr>
          <w:rFonts w:ascii="Times New Roman"/>
          <w:b/>
          <w:sz w:val="24"/>
          <w:szCs w:val="20"/>
        </w:rPr>
      </w:pPr>
    </w:p>
    <w:p w:rsidR="001D01CA" w:rsidRDefault="001D01CA" w:rsidP="00280587">
      <w:pPr>
        <w:pStyle w:val="NoSpacing"/>
        <w:spacing w:line="276" w:lineRule="auto"/>
        <w:jc w:val="both"/>
        <w:rPr>
          <w:rFonts w:ascii="Times New Roman"/>
          <w:b/>
          <w:sz w:val="24"/>
          <w:szCs w:val="20"/>
        </w:rPr>
      </w:pPr>
    </w:p>
    <w:p w:rsidR="00D6000C" w:rsidRPr="001D01CA" w:rsidRDefault="00D6000C" w:rsidP="00280587">
      <w:pPr>
        <w:pStyle w:val="NoSpacing"/>
        <w:spacing w:line="276" w:lineRule="auto"/>
        <w:jc w:val="both"/>
        <w:rPr>
          <w:rFonts w:ascii="Times New Roman"/>
          <w:b/>
          <w:sz w:val="24"/>
          <w:szCs w:val="20"/>
        </w:rPr>
      </w:pPr>
      <w:r w:rsidRPr="001D01CA">
        <w:rPr>
          <w:rFonts w:ascii="Times New Roman"/>
          <w:b/>
          <w:sz w:val="24"/>
          <w:szCs w:val="20"/>
        </w:rPr>
        <w:lastRenderedPageBreak/>
        <w:t xml:space="preserve">Limitations, future research and conclusion </w:t>
      </w:r>
    </w:p>
    <w:p w:rsidR="00D6000C" w:rsidRPr="00280587" w:rsidRDefault="006B53F2" w:rsidP="00280587">
      <w:pPr>
        <w:pStyle w:val="NoSpacing"/>
        <w:spacing w:line="276" w:lineRule="auto"/>
        <w:jc w:val="both"/>
        <w:rPr>
          <w:rFonts w:ascii="Times New Roman"/>
          <w:sz w:val="20"/>
          <w:szCs w:val="20"/>
        </w:rPr>
      </w:pPr>
      <w:r w:rsidRPr="00280587">
        <w:rPr>
          <w:rFonts w:ascii="Times New Roman"/>
          <w:sz w:val="20"/>
          <w:szCs w:val="20"/>
        </w:rPr>
        <w:t>The main limitation of t</w:t>
      </w:r>
      <w:r w:rsidR="00D6000C" w:rsidRPr="00280587">
        <w:rPr>
          <w:rFonts w:ascii="Times New Roman"/>
          <w:sz w:val="20"/>
          <w:szCs w:val="20"/>
        </w:rPr>
        <w:t xml:space="preserve">he study is </w:t>
      </w:r>
      <w:r w:rsidRPr="00280587">
        <w:rPr>
          <w:rFonts w:ascii="Times New Roman"/>
          <w:sz w:val="20"/>
          <w:szCs w:val="20"/>
        </w:rPr>
        <w:t xml:space="preserve">that it is </w:t>
      </w:r>
      <w:r w:rsidR="00D6000C" w:rsidRPr="00280587">
        <w:rPr>
          <w:rFonts w:ascii="Times New Roman"/>
          <w:sz w:val="20"/>
          <w:szCs w:val="20"/>
        </w:rPr>
        <w:t>limited to the Ghana mobile telecom industry.</w:t>
      </w:r>
      <w:r w:rsidRPr="00280587">
        <w:rPr>
          <w:rFonts w:ascii="Times New Roman"/>
          <w:sz w:val="20"/>
          <w:szCs w:val="20"/>
        </w:rPr>
        <w:t xml:space="preserve"> Moreover, it did not also examine the influence of other demographic variables such as consumer personality traits, number of phones used, </w:t>
      </w:r>
      <w:r w:rsidR="00D1437C" w:rsidRPr="00280587">
        <w:rPr>
          <w:rFonts w:ascii="Times New Roman"/>
          <w:sz w:val="20"/>
          <w:szCs w:val="20"/>
        </w:rPr>
        <w:t xml:space="preserve">consumer phone/mobile device preferences and </w:t>
      </w:r>
      <w:r w:rsidRPr="00280587">
        <w:rPr>
          <w:rFonts w:ascii="Times New Roman"/>
          <w:sz w:val="20"/>
          <w:szCs w:val="20"/>
        </w:rPr>
        <w:t>previous networks switched. It is, therefore, recommended that fu</w:t>
      </w:r>
      <w:r w:rsidR="00A701E3">
        <w:rPr>
          <w:rFonts w:ascii="Times New Roman"/>
          <w:sz w:val="20"/>
          <w:szCs w:val="20"/>
        </w:rPr>
        <w:t>ture research should examine</w:t>
      </w:r>
      <w:r w:rsidRPr="00280587">
        <w:rPr>
          <w:rFonts w:ascii="Times New Roman"/>
          <w:sz w:val="20"/>
          <w:szCs w:val="20"/>
        </w:rPr>
        <w:t xml:space="preserve"> how these demographic variables and others influence consumers</w:t>
      </w:r>
      <w:r w:rsidRPr="00280587">
        <w:rPr>
          <w:rFonts w:ascii="Times New Roman"/>
          <w:sz w:val="20"/>
          <w:szCs w:val="20"/>
        </w:rPr>
        <w:t>’</w:t>
      </w:r>
      <w:r w:rsidRPr="00280587">
        <w:rPr>
          <w:rFonts w:ascii="Times New Roman"/>
          <w:sz w:val="20"/>
          <w:szCs w:val="20"/>
        </w:rPr>
        <w:t xml:space="preserve"> </w:t>
      </w:r>
      <w:proofErr w:type="spellStart"/>
      <w:r w:rsidRPr="00280587">
        <w:rPr>
          <w:rFonts w:ascii="Times New Roman"/>
          <w:sz w:val="20"/>
          <w:szCs w:val="20"/>
        </w:rPr>
        <w:t>behaivour</w:t>
      </w:r>
      <w:proofErr w:type="spellEnd"/>
      <w:r w:rsidRPr="00280587">
        <w:rPr>
          <w:rFonts w:ascii="Times New Roman"/>
          <w:sz w:val="20"/>
          <w:szCs w:val="20"/>
        </w:rPr>
        <w:t xml:space="preserve"> towards MNP adoption. Finally, f</w:t>
      </w:r>
      <w:r w:rsidR="00D6000C" w:rsidRPr="00280587">
        <w:rPr>
          <w:rFonts w:ascii="Times New Roman"/>
          <w:sz w:val="20"/>
          <w:szCs w:val="20"/>
        </w:rPr>
        <w:t xml:space="preserve">uture research should extent the study to other African countries where MNP has been adopted. </w:t>
      </w:r>
    </w:p>
    <w:p w:rsidR="00A15DCD" w:rsidRPr="00280587" w:rsidRDefault="00A15DCD" w:rsidP="00280587">
      <w:pPr>
        <w:pStyle w:val="NoSpacing"/>
        <w:spacing w:line="276" w:lineRule="auto"/>
        <w:jc w:val="both"/>
        <w:rPr>
          <w:rFonts w:ascii="Times New Roman"/>
          <w:sz w:val="20"/>
          <w:szCs w:val="20"/>
        </w:rPr>
      </w:pPr>
    </w:p>
    <w:p w:rsidR="006B53F2" w:rsidRPr="001D01CA" w:rsidRDefault="00DD20CF" w:rsidP="00280587">
      <w:pPr>
        <w:pStyle w:val="NoSpacing"/>
        <w:spacing w:line="276" w:lineRule="auto"/>
        <w:jc w:val="both"/>
        <w:rPr>
          <w:rFonts w:ascii="Times New Roman"/>
          <w:b/>
          <w:sz w:val="24"/>
          <w:szCs w:val="20"/>
        </w:rPr>
      </w:pPr>
      <w:r w:rsidRPr="001D01CA">
        <w:rPr>
          <w:rFonts w:ascii="Times New Roman"/>
          <w:b/>
          <w:sz w:val="24"/>
          <w:szCs w:val="20"/>
        </w:rPr>
        <w:t>C</w:t>
      </w:r>
      <w:r w:rsidR="006B53F2" w:rsidRPr="001D01CA">
        <w:rPr>
          <w:rFonts w:ascii="Times New Roman"/>
          <w:b/>
          <w:sz w:val="24"/>
          <w:szCs w:val="20"/>
        </w:rPr>
        <w:t xml:space="preserve">onclusion </w:t>
      </w:r>
    </w:p>
    <w:p w:rsidR="00D6000C" w:rsidRPr="00280587" w:rsidRDefault="00DD20CF" w:rsidP="00280587">
      <w:pPr>
        <w:pStyle w:val="NoSpacing"/>
        <w:spacing w:line="276" w:lineRule="auto"/>
        <w:jc w:val="both"/>
        <w:rPr>
          <w:rFonts w:ascii="Times New Roman"/>
          <w:sz w:val="20"/>
          <w:szCs w:val="20"/>
        </w:rPr>
      </w:pPr>
      <w:r w:rsidRPr="00280587">
        <w:rPr>
          <w:rFonts w:ascii="Times New Roman"/>
          <w:sz w:val="20"/>
          <w:szCs w:val="20"/>
        </w:rPr>
        <w:t xml:space="preserve">The aim of this study was to examine consumer </w:t>
      </w:r>
      <w:proofErr w:type="spellStart"/>
      <w:r w:rsidRPr="00280587">
        <w:rPr>
          <w:rFonts w:ascii="Times New Roman"/>
          <w:sz w:val="20"/>
          <w:szCs w:val="20"/>
        </w:rPr>
        <w:t>behaviour</w:t>
      </w:r>
      <w:proofErr w:type="spellEnd"/>
      <w:r w:rsidRPr="00280587">
        <w:rPr>
          <w:rFonts w:ascii="Times New Roman"/>
          <w:sz w:val="20"/>
          <w:szCs w:val="20"/>
        </w:rPr>
        <w:t xml:space="preserve"> towards the adoption of MNP in SSA, using Ghana mobile telecom industry as the research context. </w:t>
      </w:r>
      <w:r w:rsidR="003803A0" w:rsidRPr="00280587">
        <w:rPr>
          <w:rFonts w:ascii="Times New Roman"/>
          <w:sz w:val="20"/>
          <w:szCs w:val="20"/>
        </w:rPr>
        <w:t xml:space="preserve">The findings are that, generally, consumer </w:t>
      </w:r>
      <w:proofErr w:type="spellStart"/>
      <w:r w:rsidR="003803A0" w:rsidRPr="00280587">
        <w:rPr>
          <w:rFonts w:ascii="Times New Roman"/>
          <w:sz w:val="20"/>
          <w:szCs w:val="20"/>
        </w:rPr>
        <w:t>behaviour</w:t>
      </w:r>
      <w:proofErr w:type="spellEnd"/>
      <w:r w:rsidR="003803A0" w:rsidRPr="00280587">
        <w:rPr>
          <w:rFonts w:ascii="Times New Roman"/>
          <w:sz w:val="20"/>
          <w:szCs w:val="20"/>
        </w:rPr>
        <w:t xml:space="preserve"> towards MNP adoption appear to be </w:t>
      </w:r>
      <w:proofErr w:type="spellStart"/>
      <w:r w:rsidR="003803A0" w:rsidRPr="00280587">
        <w:rPr>
          <w:rFonts w:ascii="Times New Roman"/>
          <w:sz w:val="20"/>
          <w:szCs w:val="20"/>
        </w:rPr>
        <w:t>unfavourable</w:t>
      </w:r>
      <w:proofErr w:type="spellEnd"/>
      <w:r w:rsidR="003803A0" w:rsidRPr="00280587">
        <w:rPr>
          <w:rFonts w:ascii="Times New Roman"/>
          <w:sz w:val="20"/>
          <w:szCs w:val="20"/>
        </w:rPr>
        <w:t xml:space="preserve"> in many aspects in GMTI. Specifically, the findings indicate that most of the respondents perceived the porting process to be too time consuming and effort demanding. The </w:t>
      </w:r>
      <w:r w:rsidR="00A701E3">
        <w:rPr>
          <w:rFonts w:ascii="Times New Roman"/>
          <w:sz w:val="20"/>
          <w:szCs w:val="20"/>
        </w:rPr>
        <w:t xml:space="preserve">level of consumer knowledge and </w:t>
      </w:r>
      <w:r w:rsidR="003803A0" w:rsidRPr="00280587">
        <w:rPr>
          <w:rFonts w:ascii="Times New Roman"/>
          <w:sz w:val="20"/>
          <w:szCs w:val="20"/>
        </w:rPr>
        <w:t>understanding of MNP policy and its processes is considerably low.  Most respondents</w:t>
      </w:r>
      <w:r w:rsidR="003803A0" w:rsidRPr="00280587">
        <w:rPr>
          <w:rFonts w:ascii="Times New Roman"/>
          <w:sz w:val="20"/>
          <w:szCs w:val="20"/>
        </w:rPr>
        <w:t>’</w:t>
      </w:r>
      <w:r w:rsidR="003803A0" w:rsidRPr="00280587">
        <w:rPr>
          <w:rFonts w:ascii="Times New Roman"/>
          <w:sz w:val="20"/>
          <w:szCs w:val="20"/>
        </w:rPr>
        <w:t xml:space="preserve"> perception of their switching efficac</w:t>
      </w:r>
      <w:r w:rsidR="00A701E3">
        <w:rPr>
          <w:rFonts w:ascii="Times New Roman"/>
          <w:sz w:val="20"/>
          <w:szCs w:val="20"/>
        </w:rPr>
        <w:t>y induced by MNP is considerably</w:t>
      </w:r>
      <w:r w:rsidR="003803A0" w:rsidRPr="00280587">
        <w:rPr>
          <w:rFonts w:ascii="Times New Roman"/>
          <w:sz w:val="20"/>
          <w:szCs w:val="20"/>
        </w:rPr>
        <w:t xml:space="preserve"> low. Perceived usefulness of MNP is low and consumers</w:t>
      </w:r>
      <w:r w:rsidR="003803A0" w:rsidRPr="00280587">
        <w:rPr>
          <w:rFonts w:ascii="Times New Roman"/>
          <w:sz w:val="20"/>
          <w:szCs w:val="20"/>
        </w:rPr>
        <w:t>’</w:t>
      </w:r>
      <w:r w:rsidR="003803A0" w:rsidRPr="00280587">
        <w:rPr>
          <w:rFonts w:ascii="Times New Roman"/>
          <w:sz w:val="20"/>
          <w:szCs w:val="20"/>
        </w:rPr>
        <w:t xml:space="preserve"> attitude towards MNP appears considerably </w:t>
      </w:r>
      <w:proofErr w:type="spellStart"/>
      <w:r w:rsidR="003803A0" w:rsidRPr="00280587">
        <w:rPr>
          <w:rFonts w:ascii="Times New Roman"/>
          <w:sz w:val="20"/>
          <w:szCs w:val="20"/>
        </w:rPr>
        <w:t>unfavourable</w:t>
      </w:r>
      <w:proofErr w:type="spellEnd"/>
      <w:r w:rsidR="003803A0" w:rsidRPr="00280587">
        <w:rPr>
          <w:rFonts w:ascii="Times New Roman"/>
          <w:sz w:val="20"/>
          <w:szCs w:val="20"/>
        </w:rPr>
        <w:t>.</w:t>
      </w:r>
      <w:r w:rsidR="006B53F2" w:rsidRPr="00280587">
        <w:rPr>
          <w:rFonts w:ascii="Times New Roman"/>
          <w:sz w:val="20"/>
          <w:szCs w:val="20"/>
        </w:rPr>
        <w:t xml:space="preserve"> </w:t>
      </w:r>
      <w:r w:rsidR="00AA5E0F" w:rsidRPr="00280587">
        <w:rPr>
          <w:rFonts w:ascii="Times New Roman"/>
          <w:sz w:val="20"/>
          <w:szCs w:val="20"/>
        </w:rPr>
        <w:t>It also found support for</w:t>
      </w:r>
      <w:r w:rsidR="006B53F2" w:rsidRPr="00280587">
        <w:rPr>
          <w:rFonts w:ascii="Times New Roman"/>
          <w:sz w:val="20"/>
          <w:szCs w:val="20"/>
        </w:rPr>
        <w:t xml:space="preserve"> the effect of demographic factors on consumer </w:t>
      </w:r>
      <w:proofErr w:type="spellStart"/>
      <w:r w:rsidR="006B53F2" w:rsidRPr="00280587">
        <w:rPr>
          <w:rFonts w:ascii="Times New Roman"/>
          <w:sz w:val="20"/>
          <w:szCs w:val="20"/>
        </w:rPr>
        <w:t>behavio</w:t>
      </w:r>
      <w:r w:rsidR="005378DA">
        <w:rPr>
          <w:rFonts w:ascii="Times New Roman"/>
          <w:sz w:val="20"/>
          <w:szCs w:val="20"/>
        </w:rPr>
        <w:t>u</w:t>
      </w:r>
      <w:r w:rsidR="006B53F2" w:rsidRPr="00280587">
        <w:rPr>
          <w:rFonts w:ascii="Times New Roman"/>
          <w:sz w:val="20"/>
          <w:szCs w:val="20"/>
        </w:rPr>
        <w:t>r</w:t>
      </w:r>
      <w:proofErr w:type="spellEnd"/>
      <w:r w:rsidR="006B53F2" w:rsidRPr="00280587">
        <w:rPr>
          <w:rFonts w:ascii="Times New Roman"/>
          <w:sz w:val="20"/>
          <w:szCs w:val="20"/>
        </w:rPr>
        <w:t xml:space="preserve"> towards MNP in Ghana. The findings have implications for consumer education and strategic management direction for managing MNP with r</w:t>
      </w:r>
      <w:r w:rsidR="00F3758C" w:rsidRPr="00280587">
        <w:rPr>
          <w:rFonts w:ascii="Times New Roman"/>
          <w:sz w:val="20"/>
          <w:szCs w:val="20"/>
        </w:rPr>
        <w:t xml:space="preserve">espect to consumer </w:t>
      </w:r>
      <w:proofErr w:type="spellStart"/>
      <w:r w:rsidR="00F3758C" w:rsidRPr="00280587">
        <w:rPr>
          <w:rFonts w:ascii="Times New Roman"/>
          <w:sz w:val="20"/>
          <w:szCs w:val="20"/>
        </w:rPr>
        <w:t>behavio</w:t>
      </w:r>
      <w:r w:rsidR="005378DA">
        <w:rPr>
          <w:rFonts w:ascii="Times New Roman"/>
          <w:sz w:val="20"/>
          <w:szCs w:val="20"/>
        </w:rPr>
        <w:t>u</w:t>
      </w:r>
      <w:r w:rsidR="00F3758C" w:rsidRPr="00280587">
        <w:rPr>
          <w:rFonts w:ascii="Times New Roman"/>
          <w:sz w:val="20"/>
          <w:szCs w:val="20"/>
        </w:rPr>
        <w:t>r</w:t>
      </w:r>
      <w:proofErr w:type="spellEnd"/>
      <w:r w:rsidR="00F3758C" w:rsidRPr="00280587">
        <w:rPr>
          <w:rFonts w:ascii="Times New Roman"/>
          <w:sz w:val="20"/>
          <w:szCs w:val="20"/>
        </w:rPr>
        <w:t>, and also provides important avenues for future research.</w:t>
      </w:r>
    </w:p>
    <w:p w:rsidR="006B53F2" w:rsidRDefault="006B53F2" w:rsidP="00D6000C">
      <w:pPr>
        <w:pStyle w:val="NoSpacing"/>
        <w:jc w:val="both"/>
        <w:rPr>
          <w:rFonts w:ascii="Times New Roman"/>
          <w:sz w:val="24"/>
          <w:szCs w:val="24"/>
        </w:rPr>
      </w:pPr>
    </w:p>
    <w:p w:rsidR="00046686" w:rsidRPr="00046686" w:rsidRDefault="002252A5" w:rsidP="00046686">
      <w:pPr>
        <w:spacing w:after="80" w:line="240" w:lineRule="exact"/>
        <w:rPr>
          <w:b/>
          <w:iCs/>
          <w:sz w:val="20"/>
          <w:szCs w:val="20"/>
        </w:rPr>
      </w:pPr>
      <w:r w:rsidRPr="00FE7297">
        <w:rPr>
          <w:b/>
          <w:iCs/>
          <w:sz w:val="20"/>
          <w:szCs w:val="20"/>
        </w:rPr>
        <w:t>References</w:t>
      </w:r>
    </w:p>
    <w:p w:rsidR="00046686" w:rsidRPr="00046686" w:rsidRDefault="00046686" w:rsidP="002252A5">
      <w:pPr>
        <w:spacing w:after="80" w:line="240" w:lineRule="exact"/>
        <w:ind w:left="440" w:hangingChars="200" w:hanging="440"/>
        <w:rPr>
          <w:sz w:val="22"/>
          <w:szCs w:val="22"/>
        </w:rPr>
      </w:pPr>
      <w:proofErr w:type="spellStart"/>
      <w:r w:rsidRPr="00046686">
        <w:rPr>
          <w:rFonts w:eastAsia="Calibri"/>
          <w:sz w:val="22"/>
          <w:szCs w:val="22"/>
        </w:rPr>
        <w:t>Abdramon</w:t>
      </w:r>
      <w:proofErr w:type="spellEnd"/>
      <w:r w:rsidRPr="00046686">
        <w:rPr>
          <w:rFonts w:eastAsia="Calibri"/>
          <w:sz w:val="22"/>
          <w:szCs w:val="22"/>
        </w:rPr>
        <w:t>, T.</w:t>
      </w:r>
      <w:r w:rsidRPr="00046686">
        <w:rPr>
          <w:rFonts w:eastAsia="Calibri"/>
          <w:bCs/>
          <w:sz w:val="22"/>
          <w:szCs w:val="22"/>
        </w:rPr>
        <w:t xml:space="preserve"> </w:t>
      </w:r>
      <w:r w:rsidRPr="00046686">
        <w:rPr>
          <w:rFonts w:eastAsia="Calibri"/>
          <w:sz w:val="22"/>
          <w:szCs w:val="22"/>
        </w:rPr>
        <w:t>O.</w:t>
      </w:r>
      <w:r w:rsidRPr="00046686">
        <w:rPr>
          <w:sz w:val="22"/>
          <w:szCs w:val="22"/>
        </w:rPr>
        <w:t>,</w:t>
      </w:r>
      <w:r w:rsidRPr="00046686">
        <w:rPr>
          <w:rFonts w:eastAsia="Calibri"/>
          <w:sz w:val="22"/>
          <w:szCs w:val="22"/>
        </w:rPr>
        <w:t xml:space="preserve"> </w:t>
      </w:r>
      <w:r w:rsidR="00646D41">
        <w:rPr>
          <w:rFonts w:eastAsia="Calibri"/>
          <w:sz w:val="22"/>
          <w:szCs w:val="22"/>
        </w:rPr>
        <w:t>and</w:t>
      </w:r>
      <w:r w:rsidRPr="00046686">
        <w:rPr>
          <w:rFonts w:eastAsia="Calibri"/>
          <w:sz w:val="22"/>
          <w:szCs w:val="22"/>
        </w:rPr>
        <w:t xml:space="preserve"> </w:t>
      </w:r>
      <w:proofErr w:type="spellStart"/>
      <w:r w:rsidRPr="00046686">
        <w:rPr>
          <w:rFonts w:eastAsia="Calibri"/>
          <w:sz w:val="22"/>
          <w:szCs w:val="22"/>
        </w:rPr>
        <w:t>M</w:t>
      </w:r>
      <w:r w:rsidR="001D01CA">
        <w:rPr>
          <w:rFonts w:eastAsia="Calibri"/>
          <w:sz w:val="22"/>
          <w:szCs w:val="22"/>
        </w:rPr>
        <w:t>ejabi</w:t>
      </w:r>
      <w:proofErr w:type="spellEnd"/>
      <w:r w:rsidR="001D01CA">
        <w:rPr>
          <w:rFonts w:eastAsia="Calibri"/>
          <w:sz w:val="22"/>
          <w:szCs w:val="22"/>
        </w:rPr>
        <w:t>, O. V. (2012)</w:t>
      </w:r>
      <w:r w:rsidRPr="00046686">
        <w:rPr>
          <w:rFonts w:eastAsia="Calibri"/>
          <w:sz w:val="22"/>
          <w:szCs w:val="22"/>
        </w:rPr>
        <w:t xml:space="preserve"> </w:t>
      </w:r>
      <w:r w:rsidR="001D01CA">
        <w:rPr>
          <w:rFonts w:eastAsia="Calibri"/>
          <w:sz w:val="22"/>
          <w:szCs w:val="22"/>
        </w:rPr>
        <w:t>‘</w:t>
      </w:r>
      <w:r w:rsidRPr="00046686">
        <w:rPr>
          <w:rFonts w:eastAsia="Calibri"/>
          <w:sz w:val="22"/>
          <w:szCs w:val="22"/>
        </w:rPr>
        <w:t>Evaluation of Subscriber Attitude to Mobile Number Portability</w:t>
      </w:r>
      <w:r w:rsidRPr="00046686">
        <w:rPr>
          <w:sz w:val="22"/>
          <w:szCs w:val="22"/>
        </w:rPr>
        <w:t xml:space="preserve"> </w:t>
      </w:r>
      <w:r w:rsidR="001D01CA">
        <w:rPr>
          <w:rFonts w:eastAsia="Calibri"/>
          <w:sz w:val="22"/>
          <w:szCs w:val="22"/>
        </w:rPr>
        <w:t>Implementation in Nigeria,’</w:t>
      </w:r>
      <w:r w:rsidRPr="00046686">
        <w:rPr>
          <w:rFonts w:eastAsia="Calibri"/>
          <w:sz w:val="22"/>
          <w:szCs w:val="22"/>
        </w:rPr>
        <w:t xml:space="preserve"> </w:t>
      </w:r>
      <w:r w:rsidRPr="00046686">
        <w:rPr>
          <w:rFonts w:eastAsia="Calibri"/>
          <w:bCs/>
          <w:i/>
          <w:sz w:val="22"/>
          <w:szCs w:val="22"/>
        </w:rPr>
        <w:t>Journal of Emerging Trends in Computing and</w:t>
      </w:r>
      <w:r w:rsidRPr="00046686">
        <w:rPr>
          <w:bCs/>
          <w:i/>
          <w:sz w:val="22"/>
          <w:szCs w:val="22"/>
        </w:rPr>
        <w:t xml:space="preserve"> </w:t>
      </w:r>
      <w:r w:rsidRPr="00046686">
        <w:rPr>
          <w:rFonts w:eastAsia="Calibri"/>
          <w:bCs/>
          <w:i/>
          <w:sz w:val="22"/>
          <w:szCs w:val="22"/>
        </w:rPr>
        <w:t xml:space="preserve">Information Sciences, </w:t>
      </w:r>
      <w:r w:rsidRPr="00046686">
        <w:rPr>
          <w:rFonts w:eastAsia="Calibri"/>
          <w:i/>
          <w:sz w:val="22"/>
          <w:szCs w:val="22"/>
        </w:rPr>
        <w:t>3</w:t>
      </w:r>
      <w:r w:rsidRPr="00046686">
        <w:rPr>
          <w:rFonts w:eastAsia="Calibri"/>
          <w:sz w:val="22"/>
          <w:szCs w:val="22"/>
        </w:rPr>
        <w:t>(4), 526</w:t>
      </w:r>
      <w:bookmarkStart w:id="1" w:name="OLE_LINK3"/>
      <w:bookmarkStart w:id="2" w:name="OLE_LINK4"/>
      <w:r w:rsidRPr="00046686">
        <w:rPr>
          <w:rFonts w:eastAsia="Calibri"/>
          <w:sz w:val="22"/>
          <w:szCs w:val="22"/>
        </w:rPr>
        <w:t>–</w:t>
      </w:r>
      <w:bookmarkEnd w:id="1"/>
      <w:bookmarkEnd w:id="2"/>
      <w:r w:rsidRPr="00046686">
        <w:rPr>
          <w:rFonts w:eastAsia="Calibri"/>
          <w:sz w:val="22"/>
          <w:szCs w:val="22"/>
        </w:rPr>
        <w:t>533.</w:t>
      </w:r>
      <w:r w:rsidRPr="00046686">
        <w:rPr>
          <w:sz w:val="22"/>
          <w:szCs w:val="22"/>
        </w:rPr>
        <w:t xml:space="preserve"> </w:t>
      </w:r>
    </w:p>
    <w:p w:rsidR="00046686" w:rsidRPr="00046686" w:rsidRDefault="00046686" w:rsidP="00187415">
      <w:pPr>
        <w:pStyle w:val="NoSpacing"/>
        <w:jc w:val="both"/>
        <w:rPr>
          <w:rFonts w:ascii="Times New Roman" w:hAnsi="Times New Roman" w:cs="Times New Roman"/>
        </w:rPr>
      </w:pPr>
      <w:proofErr w:type="spellStart"/>
      <w:r w:rsidRPr="00046686">
        <w:rPr>
          <w:rFonts w:ascii="Times New Roman" w:hAnsi="Times New Roman" w:cs="Times New Roman"/>
        </w:rPr>
        <w:t>Agyekum</w:t>
      </w:r>
      <w:proofErr w:type="spellEnd"/>
      <w:r w:rsidRPr="00046686">
        <w:rPr>
          <w:rFonts w:ascii="Times New Roman" w:hAnsi="Times New Roman" w:cs="Times New Roman"/>
        </w:rPr>
        <w:t xml:space="preserve">, K. A., </w:t>
      </w:r>
      <w:proofErr w:type="spellStart"/>
      <w:r w:rsidRPr="00046686">
        <w:rPr>
          <w:rFonts w:ascii="Times New Roman" w:hAnsi="Times New Roman" w:cs="Times New Roman"/>
        </w:rPr>
        <w:t>Tchao</w:t>
      </w:r>
      <w:proofErr w:type="spellEnd"/>
      <w:r w:rsidRPr="00046686">
        <w:rPr>
          <w:rFonts w:ascii="Times New Roman" w:hAnsi="Times New Roman" w:cs="Times New Roman"/>
        </w:rPr>
        <w:t xml:space="preserve">, E. T., </w:t>
      </w:r>
      <w:r w:rsidR="00646D41">
        <w:rPr>
          <w:rFonts w:ascii="Times New Roman" w:hAnsi="Times New Roman" w:cs="Times New Roman"/>
        </w:rPr>
        <w:t>and</w:t>
      </w:r>
      <w:r w:rsidRPr="00046686">
        <w:rPr>
          <w:rFonts w:ascii="Times New Roman" w:hAnsi="Times New Roman" w:cs="Times New Roman"/>
        </w:rPr>
        <w:t xml:space="preserve"> </w:t>
      </w:r>
      <w:proofErr w:type="spellStart"/>
      <w:r w:rsidRPr="00046686">
        <w:rPr>
          <w:rFonts w:ascii="Times New Roman" w:hAnsi="Times New Roman" w:cs="Times New Roman"/>
        </w:rPr>
        <w:t>Affum</w:t>
      </w:r>
      <w:proofErr w:type="spellEnd"/>
      <w:r w:rsidR="001D01CA">
        <w:rPr>
          <w:rFonts w:ascii="Times New Roman" w:hAnsi="Times New Roman" w:cs="Times New Roman"/>
        </w:rPr>
        <w:t>, E. (2013)</w:t>
      </w:r>
      <w:r w:rsidRPr="00046686">
        <w:rPr>
          <w:rFonts w:ascii="Times New Roman" w:hAnsi="Times New Roman" w:cs="Times New Roman"/>
        </w:rPr>
        <w:t xml:space="preserve"> </w:t>
      </w:r>
      <w:r w:rsidR="001D01CA">
        <w:rPr>
          <w:rFonts w:ascii="Times New Roman" w:hAnsi="Times New Roman" w:cs="Times New Roman"/>
        </w:rPr>
        <w:t>‘</w:t>
      </w:r>
      <w:r w:rsidRPr="00046686">
        <w:rPr>
          <w:rFonts w:ascii="Times New Roman" w:hAnsi="Times New Roman" w:cs="Times New Roman"/>
        </w:rPr>
        <w:t xml:space="preserve">Evaluation of Mobile Number </w:t>
      </w:r>
      <w:proofErr w:type="spellStart"/>
      <w:r w:rsidRPr="00046686">
        <w:rPr>
          <w:rFonts w:ascii="Times New Roman" w:hAnsi="Times New Roman" w:cs="Times New Roman"/>
        </w:rPr>
        <w:t>Portablility</w:t>
      </w:r>
      <w:proofErr w:type="spellEnd"/>
      <w:r w:rsidRPr="00046686">
        <w:rPr>
          <w:rFonts w:ascii="Times New Roman" w:hAnsi="Times New Roman" w:cs="Times New Roman"/>
        </w:rPr>
        <w:tab/>
        <w:t>Implementation in Ghana‖</w:t>
      </w:r>
      <w:r w:rsidR="001D01CA">
        <w:rPr>
          <w:rFonts w:ascii="Times New Roman" w:hAnsi="Times New Roman" w:cs="Times New Roman"/>
        </w:rPr>
        <w:t>,’</w:t>
      </w:r>
      <w:r w:rsidRPr="00046686">
        <w:rPr>
          <w:rFonts w:ascii="Times New Roman" w:hAnsi="Times New Roman" w:cs="Times New Roman"/>
        </w:rPr>
        <w:t xml:space="preserve"> </w:t>
      </w:r>
      <w:r w:rsidRPr="001D01CA">
        <w:rPr>
          <w:rFonts w:ascii="Times New Roman" w:hAnsi="Times New Roman" w:cs="Times New Roman"/>
          <w:i/>
        </w:rPr>
        <w:t>IJCST,</w:t>
      </w:r>
      <w:r w:rsidRPr="00046686">
        <w:rPr>
          <w:rFonts w:ascii="Times New Roman" w:hAnsi="Times New Roman" w:cs="Times New Roman"/>
        </w:rPr>
        <w:t xml:space="preserve"> 4(10), 30-33.</w:t>
      </w:r>
    </w:p>
    <w:p w:rsidR="00046686" w:rsidRPr="00046686" w:rsidRDefault="00046686" w:rsidP="002252A5">
      <w:pPr>
        <w:autoSpaceDE w:val="0"/>
        <w:autoSpaceDN w:val="0"/>
        <w:spacing w:after="80" w:line="240" w:lineRule="exact"/>
        <w:ind w:left="440" w:hangingChars="200" w:hanging="440"/>
        <w:rPr>
          <w:sz w:val="22"/>
          <w:szCs w:val="22"/>
        </w:rPr>
      </w:pPr>
      <w:proofErr w:type="spellStart"/>
      <w:r w:rsidRPr="00046686">
        <w:rPr>
          <w:bCs/>
          <w:sz w:val="22"/>
          <w:szCs w:val="22"/>
        </w:rPr>
        <w:t>Ajzen</w:t>
      </w:r>
      <w:proofErr w:type="spellEnd"/>
      <w:r w:rsidRPr="00046686">
        <w:rPr>
          <w:bCs/>
          <w:sz w:val="22"/>
          <w:szCs w:val="22"/>
        </w:rPr>
        <w:t xml:space="preserve">, I., </w:t>
      </w:r>
      <w:r w:rsidR="00646D41">
        <w:rPr>
          <w:bCs/>
          <w:sz w:val="22"/>
          <w:szCs w:val="22"/>
        </w:rPr>
        <w:t>and</w:t>
      </w:r>
      <w:r w:rsidR="001D01CA">
        <w:rPr>
          <w:bCs/>
          <w:sz w:val="22"/>
          <w:szCs w:val="22"/>
        </w:rPr>
        <w:t xml:space="preserve"> </w:t>
      </w:r>
      <w:proofErr w:type="spellStart"/>
      <w:r w:rsidR="001D01CA">
        <w:rPr>
          <w:bCs/>
          <w:sz w:val="22"/>
          <w:szCs w:val="22"/>
        </w:rPr>
        <w:t>Fishbein</w:t>
      </w:r>
      <w:proofErr w:type="spellEnd"/>
      <w:r w:rsidR="001D01CA">
        <w:rPr>
          <w:bCs/>
          <w:sz w:val="22"/>
          <w:szCs w:val="22"/>
        </w:rPr>
        <w:t>, M. (2000)</w:t>
      </w:r>
      <w:r w:rsidRPr="00046686">
        <w:rPr>
          <w:bCs/>
          <w:sz w:val="22"/>
          <w:szCs w:val="22"/>
        </w:rPr>
        <w:t xml:space="preserve"> </w:t>
      </w:r>
      <w:r w:rsidR="001D01CA">
        <w:rPr>
          <w:bCs/>
          <w:sz w:val="22"/>
          <w:szCs w:val="22"/>
        </w:rPr>
        <w:t>‘</w:t>
      </w:r>
      <w:r w:rsidRPr="00046686">
        <w:rPr>
          <w:bCs/>
          <w:sz w:val="22"/>
          <w:szCs w:val="22"/>
        </w:rPr>
        <w:t>Attitudes and the Attitude Behavior Relation: R</w:t>
      </w:r>
      <w:r w:rsidR="001D01CA">
        <w:rPr>
          <w:bCs/>
          <w:sz w:val="22"/>
          <w:szCs w:val="22"/>
        </w:rPr>
        <w:t>easoned and Automatic Processes,’</w:t>
      </w:r>
      <w:r w:rsidRPr="00046686">
        <w:rPr>
          <w:bCs/>
          <w:sz w:val="22"/>
          <w:szCs w:val="22"/>
        </w:rPr>
        <w:t xml:space="preserve"> </w:t>
      </w:r>
      <w:r w:rsidRPr="00046686">
        <w:rPr>
          <w:bCs/>
          <w:i/>
          <w:sz w:val="22"/>
          <w:szCs w:val="22"/>
        </w:rPr>
        <w:t>European Review of Social Psychology, 11</w:t>
      </w:r>
      <w:r w:rsidRPr="00046686">
        <w:rPr>
          <w:bCs/>
          <w:sz w:val="22"/>
          <w:szCs w:val="22"/>
        </w:rPr>
        <w:t>(1), 1</w:t>
      </w:r>
      <w:r w:rsidRPr="00046686">
        <w:rPr>
          <w:rFonts w:eastAsia="Calibri"/>
          <w:sz w:val="22"/>
          <w:szCs w:val="22"/>
        </w:rPr>
        <w:t>–</w:t>
      </w:r>
      <w:r w:rsidRPr="00046686">
        <w:rPr>
          <w:bCs/>
          <w:sz w:val="22"/>
          <w:szCs w:val="22"/>
        </w:rPr>
        <w:t xml:space="preserve">33. </w:t>
      </w:r>
      <w:hyperlink r:id="rId12" w:tgtFrame="_blank" w:history="1">
        <w:r w:rsidRPr="00046686">
          <w:rPr>
            <w:sz w:val="22"/>
            <w:szCs w:val="22"/>
          </w:rPr>
          <w:t>http://dx.doi.org/10.1080/14792779943000116</w:t>
        </w:r>
      </w:hyperlink>
    </w:p>
    <w:p w:rsidR="00046686" w:rsidRPr="00046686" w:rsidRDefault="00046686" w:rsidP="002252A5">
      <w:pPr>
        <w:autoSpaceDE w:val="0"/>
        <w:autoSpaceDN w:val="0"/>
        <w:spacing w:after="80" w:line="240" w:lineRule="exact"/>
        <w:ind w:left="440" w:hangingChars="200" w:hanging="440"/>
        <w:rPr>
          <w:bCs/>
          <w:sz w:val="22"/>
          <w:szCs w:val="22"/>
        </w:rPr>
      </w:pPr>
      <w:proofErr w:type="spellStart"/>
      <w:r w:rsidRPr="00046686">
        <w:rPr>
          <w:bCs/>
          <w:sz w:val="22"/>
          <w:szCs w:val="22"/>
        </w:rPr>
        <w:t>Ajzen</w:t>
      </w:r>
      <w:proofErr w:type="spellEnd"/>
      <w:r w:rsidRPr="00046686">
        <w:rPr>
          <w:bCs/>
          <w:sz w:val="22"/>
          <w:szCs w:val="22"/>
        </w:rPr>
        <w:t xml:space="preserve">, I., </w:t>
      </w:r>
      <w:r w:rsidR="00646D41">
        <w:rPr>
          <w:bCs/>
          <w:sz w:val="22"/>
          <w:szCs w:val="22"/>
        </w:rPr>
        <w:t>and</w:t>
      </w:r>
      <w:r w:rsidR="001D01CA">
        <w:rPr>
          <w:bCs/>
          <w:sz w:val="22"/>
          <w:szCs w:val="22"/>
        </w:rPr>
        <w:t xml:space="preserve"> </w:t>
      </w:r>
      <w:proofErr w:type="spellStart"/>
      <w:r w:rsidR="001D01CA">
        <w:rPr>
          <w:bCs/>
          <w:sz w:val="22"/>
          <w:szCs w:val="22"/>
        </w:rPr>
        <w:t>Fishbein</w:t>
      </w:r>
      <w:proofErr w:type="spellEnd"/>
      <w:r w:rsidR="001D01CA">
        <w:rPr>
          <w:bCs/>
          <w:sz w:val="22"/>
          <w:szCs w:val="22"/>
        </w:rPr>
        <w:t>, M. (2005)</w:t>
      </w:r>
      <w:r w:rsidRPr="00046686">
        <w:rPr>
          <w:bCs/>
          <w:sz w:val="22"/>
          <w:szCs w:val="22"/>
        </w:rPr>
        <w:t xml:space="preserve"> </w:t>
      </w:r>
      <w:r w:rsidR="001D01CA">
        <w:rPr>
          <w:bCs/>
          <w:sz w:val="22"/>
          <w:szCs w:val="22"/>
        </w:rPr>
        <w:t>‘</w:t>
      </w:r>
      <w:r w:rsidRPr="00046686">
        <w:rPr>
          <w:bCs/>
          <w:i/>
          <w:sz w:val="22"/>
          <w:szCs w:val="22"/>
        </w:rPr>
        <w:t>The Influence of Attitudes on Behavior</w:t>
      </w:r>
      <w:r w:rsidR="001D01CA">
        <w:rPr>
          <w:bCs/>
          <w:i/>
          <w:sz w:val="22"/>
          <w:szCs w:val="22"/>
        </w:rPr>
        <w:t>’</w:t>
      </w:r>
      <w:r w:rsidRPr="00046686">
        <w:rPr>
          <w:bCs/>
          <w:sz w:val="22"/>
          <w:szCs w:val="22"/>
        </w:rPr>
        <w:t xml:space="preserve">. In D. </w:t>
      </w:r>
      <w:proofErr w:type="spellStart"/>
      <w:r w:rsidRPr="00046686">
        <w:rPr>
          <w:bCs/>
          <w:sz w:val="22"/>
          <w:szCs w:val="22"/>
        </w:rPr>
        <w:t>Albarracín</w:t>
      </w:r>
      <w:proofErr w:type="spellEnd"/>
      <w:r w:rsidRPr="00046686">
        <w:rPr>
          <w:bCs/>
          <w:sz w:val="22"/>
          <w:szCs w:val="22"/>
        </w:rPr>
        <w:t xml:space="preserve">, B. T. Johnson, </w:t>
      </w:r>
      <w:r w:rsidR="00646D41">
        <w:rPr>
          <w:bCs/>
          <w:sz w:val="22"/>
          <w:szCs w:val="22"/>
        </w:rPr>
        <w:t>and</w:t>
      </w:r>
      <w:r w:rsidRPr="00046686">
        <w:rPr>
          <w:bCs/>
          <w:sz w:val="22"/>
          <w:szCs w:val="22"/>
        </w:rPr>
        <w:t xml:space="preserve"> M. P. </w:t>
      </w:r>
      <w:proofErr w:type="spellStart"/>
      <w:r w:rsidRPr="00046686">
        <w:rPr>
          <w:bCs/>
          <w:sz w:val="22"/>
          <w:szCs w:val="22"/>
        </w:rPr>
        <w:t>Zanna</w:t>
      </w:r>
      <w:proofErr w:type="spellEnd"/>
      <w:r w:rsidRPr="00046686">
        <w:rPr>
          <w:bCs/>
          <w:sz w:val="22"/>
          <w:szCs w:val="22"/>
        </w:rPr>
        <w:t xml:space="preserve"> (Eds.), </w:t>
      </w:r>
      <w:proofErr w:type="gramStart"/>
      <w:r w:rsidRPr="00046686">
        <w:rPr>
          <w:bCs/>
          <w:i/>
          <w:iCs/>
          <w:sz w:val="22"/>
          <w:szCs w:val="22"/>
        </w:rPr>
        <w:t>The</w:t>
      </w:r>
      <w:proofErr w:type="gramEnd"/>
      <w:r w:rsidRPr="00046686">
        <w:rPr>
          <w:bCs/>
          <w:i/>
          <w:iCs/>
          <w:sz w:val="22"/>
          <w:szCs w:val="22"/>
        </w:rPr>
        <w:t xml:space="preserve"> Handbook of Attitudes </w:t>
      </w:r>
      <w:r w:rsidRPr="00046686">
        <w:rPr>
          <w:bCs/>
          <w:sz w:val="22"/>
          <w:szCs w:val="22"/>
        </w:rPr>
        <w:t>(pp. 173</w:t>
      </w:r>
      <w:r w:rsidRPr="00046686">
        <w:rPr>
          <w:rFonts w:eastAsia="Calibri"/>
          <w:sz w:val="22"/>
          <w:szCs w:val="22"/>
        </w:rPr>
        <w:t>–</w:t>
      </w:r>
      <w:r w:rsidRPr="00046686">
        <w:rPr>
          <w:bCs/>
          <w:sz w:val="22"/>
          <w:szCs w:val="22"/>
        </w:rPr>
        <w:t>221). Mahwah, NJ: Erlbaum.</w:t>
      </w:r>
    </w:p>
    <w:p w:rsidR="00046686" w:rsidRPr="00046686" w:rsidRDefault="00046686" w:rsidP="002252A5">
      <w:pPr>
        <w:autoSpaceDE w:val="0"/>
        <w:autoSpaceDN w:val="0"/>
        <w:spacing w:after="80" w:line="240" w:lineRule="exact"/>
        <w:ind w:left="440" w:hangingChars="200" w:hanging="440"/>
        <w:rPr>
          <w:sz w:val="22"/>
          <w:szCs w:val="22"/>
        </w:rPr>
      </w:pPr>
      <w:r w:rsidRPr="00046686">
        <w:rPr>
          <w:sz w:val="22"/>
          <w:szCs w:val="22"/>
        </w:rPr>
        <w:t xml:space="preserve">Buehler, S., </w:t>
      </w:r>
      <w:r w:rsidR="00646D41">
        <w:rPr>
          <w:sz w:val="22"/>
          <w:szCs w:val="22"/>
        </w:rPr>
        <w:t>and</w:t>
      </w:r>
      <w:r w:rsidR="001D01CA">
        <w:rPr>
          <w:sz w:val="22"/>
          <w:szCs w:val="22"/>
        </w:rPr>
        <w:t xml:space="preserve"> </w:t>
      </w:r>
      <w:proofErr w:type="spellStart"/>
      <w:r w:rsidR="001D01CA">
        <w:rPr>
          <w:sz w:val="22"/>
          <w:szCs w:val="22"/>
        </w:rPr>
        <w:t>Haucap</w:t>
      </w:r>
      <w:proofErr w:type="spellEnd"/>
      <w:r w:rsidR="001D01CA">
        <w:rPr>
          <w:sz w:val="22"/>
          <w:szCs w:val="22"/>
        </w:rPr>
        <w:t>, J. (2004)</w:t>
      </w:r>
      <w:r w:rsidRPr="00046686">
        <w:rPr>
          <w:sz w:val="22"/>
          <w:szCs w:val="22"/>
        </w:rPr>
        <w:t xml:space="preserve"> </w:t>
      </w:r>
      <w:r w:rsidR="001D01CA">
        <w:rPr>
          <w:sz w:val="22"/>
          <w:szCs w:val="22"/>
        </w:rPr>
        <w:t>‘</w:t>
      </w:r>
      <w:r w:rsidRPr="00046686">
        <w:rPr>
          <w:sz w:val="22"/>
          <w:szCs w:val="22"/>
        </w:rPr>
        <w:t>Mobile Numbering and Number Portability in Ireland. A report to the ODTR, Ovum: London</w:t>
      </w:r>
      <w:r w:rsidR="001D01CA">
        <w:rPr>
          <w:sz w:val="22"/>
          <w:szCs w:val="22"/>
        </w:rPr>
        <w:t>,</w:t>
      </w:r>
      <w:r w:rsidRPr="00046686">
        <w:rPr>
          <w:sz w:val="22"/>
          <w:szCs w:val="22"/>
        </w:rPr>
        <w:t xml:space="preserve"> </w:t>
      </w:r>
      <w:r w:rsidRPr="00046686">
        <w:rPr>
          <w:i/>
          <w:sz w:val="22"/>
          <w:szCs w:val="22"/>
        </w:rPr>
        <w:t>Journal of Industry, Competition and Trade</w:t>
      </w:r>
      <w:r w:rsidRPr="00046686">
        <w:rPr>
          <w:sz w:val="22"/>
          <w:szCs w:val="22"/>
        </w:rPr>
        <w:t xml:space="preserve">, </w:t>
      </w:r>
      <w:r w:rsidRPr="00046686">
        <w:rPr>
          <w:i/>
          <w:sz w:val="22"/>
          <w:szCs w:val="22"/>
        </w:rPr>
        <w:t>4</w:t>
      </w:r>
      <w:r w:rsidRPr="00046686">
        <w:rPr>
          <w:sz w:val="22"/>
          <w:szCs w:val="22"/>
        </w:rPr>
        <w:t>(3), 223</w:t>
      </w:r>
      <w:r w:rsidRPr="00046686">
        <w:rPr>
          <w:rFonts w:eastAsia="Calibri"/>
          <w:sz w:val="22"/>
          <w:szCs w:val="22"/>
        </w:rPr>
        <w:t>–</w:t>
      </w:r>
      <w:r w:rsidRPr="00046686">
        <w:rPr>
          <w:sz w:val="22"/>
          <w:szCs w:val="22"/>
        </w:rPr>
        <w:t xml:space="preserve">238. </w:t>
      </w:r>
      <w:hyperlink r:id="rId13" w:tgtFrame="_blank" w:history="1">
        <w:r w:rsidRPr="00046686">
          <w:rPr>
            <w:sz w:val="22"/>
            <w:szCs w:val="22"/>
          </w:rPr>
          <w:t>http://dx.doi.org/10.1023/B:JICT.0000047299.13443.5a</w:t>
        </w:r>
      </w:hyperlink>
    </w:p>
    <w:p w:rsidR="00046686" w:rsidRPr="00046686" w:rsidRDefault="001D01CA" w:rsidP="00187415">
      <w:pPr>
        <w:pStyle w:val="NoSpacing"/>
        <w:jc w:val="both"/>
        <w:rPr>
          <w:rFonts w:ascii="Times New Roman" w:hAnsi="Times New Roman" w:cs="Times New Roman"/>
        </w:rPr>
      </w:pPr>
      <w:proofErr w:type="spellStart"/>
      <w:r>
        <w:rPr>
          <w:rFonts w:ascii="Times New Roman" w:hAnsi="Times New Roman" w:cs="Times New Roman"/>
        </w:rPr>
        <w:t>Chweya</w:t>
      </w:r>
      <w:proofErr w:type="spellEnd"/>
      <w:r>
        <w:rPr>
          <w:rFonts w:ascii="Times New Roman" w:hAnsi="Times New Roman" w:cs="Times New Roman"/>
        </w:rPr>
        <w:t>, R. (2013)</w:t>
      </w:r>
      <w:r w:rsidR="00046686" w:rsidRPr="00046686">
        <w:rPr>
          <w:rFonts w:ascii="Times New Roman" w:hAnsi="Times New Roman" w:cs="Times New Roman"/>
        </w:rPr>
        <w:t xml:space="preserve"> </w:t>
      </w:r>
      <w:r>
        <w:rPr>
          <w:rFonts w:ascii="Times New Roman" w:hAnsi="Times New Roman" w:cs="Times New Roman"/>
        </w:rPr>
        <w:t>‘</w:t>
      </w:r>
      <w:r w:rsidR="00046686" w:rsidRPr="00046686">
        <w:rPr>
          <w:rFonts w:ascii="Times New Roman" w:hAnsi="Times New Roman" w:cs="Times New Roman"/>
        </w:rPr>
        <w:t>Mobile Number Por</w:t>
      </w:r>
      <w:r>
        <w:rPr>
          <w:rFonts w:ascii="Times New Roman" w:hAnsi="Times New Roman" w:cs="Times New Roman"/>
        </w:rPr>
        <w:t>tability: Is it worth in Kenya?’</w:t>
      </w:r>
      <w:r w:rsidR="00046686" w:rsidRPr="00046686">
        <w:rPr>
          <w:rFonts w:ascii="Times New Roman" w:hAnsi="Times New Roman" w:cs="Times New Roman"/>
        </w:rPr>
        <w:t xml:space="preserve"> </w:t>
      </w:r>
      <w:r w:rsidR="00046686" w:rsidRPr="001D01CA">
        <w:rPr>
          <w:rFonts w:ascii="Times New Roman" w:hAnsi="Times New Roman" w:cs="Times New Roman"/>
          <w:i/>
        </w:rPr>
        <w:t>World</w:t>
      </w:r>
      <w:r w:rsidR="00046686" w:rsidRPr="00046686">
        <w:rPr>
          <w:rFonts w:ascii="Times New Roman" w:hAnsi="Times New Roman" w:cs="Times New Roman"/>
        </w:rPr>
        <w:t>, 1(4), 121-126.</w:t>
      </w:r>
    </w:p>
    <w:p w:rsidR="00046686" w:rsidRPr="00046686" w:rsidRDefault="00046686" w:rsidP="002252A5">
      <w:pPr>
        <w:spacing w:after="80" w:line="240" w:lineRule="exact"/>
        <w:ind w:left="440" w:hangingChars="200" w:hanging="440"/>
        <w:rPr>
          <w:sz w:val="22"/>
          <w:szCs w:val="22"/>
        </w:rPr>
      </w:pPr>
      <w:r w:rsidRPr="00046686">
        <w:rPr>
          <w:sz w:val="22"/>
          <w:szCs w:val="22"/>
        </w:rPr>
        <w:t xml:space="preserve">Cordell, V. V. (1997) </w:t>
      </w:r>
      <w:r w:rsidR="001D01CA">
        <w:rPr>
          <w:sz w:val="22"/>
          <w:szCs w:val="22"/>
        </w:rPr>
        <w:t>‘</w:t>
      </w:r>
      <w:r w:rsidRPr="00046686">
        <w:rPr>
          <w:sz w:val="22"/>
          <w:szCs w:val="22"/>
        </w:rPr>
        <w:t>Consumer Knowledge Measures as P</w:t>
      </w:r>
      <w:r w:rsidR="001D01CA">
        <w:rPr>
          <w:sz w:val="22"/>
          <w:szCs w:val="22"/>
        </w:rPr>
        <w:t>redictors in Product Evaluation,’</w:t>
      </w:r>
      <w:r w:rsidRPr="00046686">
        <w:rPr>
          <w:sz w:val="22"/>
          <w:szCs w:val="22"/>
        </w:rPr>
        <w:t xml:space="preserve"> </w:t>
      </w:r>
      <w:r w:rsidRPr="00046686">
        <w:rPr>
          <w:i/>
          <w:sz w:val="22"/>
          <w:szCs w:val="22"/>
        </w:rPr>
        <w:t xml:space="preserve">Psychology </w:t>
      </w:r>
      <w:r w:rsidR="00646D41">
        <w:rPr>
          <w:i/>
          <w:sz w:val="22"/>
          <w:szCs w:val="22"/>
        </w:rPr>
        <w:t>and</w:t>
      </w:r>
      <w:r w:rsidRPr="00046686">
        <w:rPr>
          <w:i/>
          <w:sz w:val="22"/>
          <w:szCs w:val="22"/>
        </w:rPr>
        <w:t xml:space="preserve"> Marketing</w:t>
      </w:r>
      <w:r w:rsidRPr="00046686">
        <w:rPr>
          <w:sz w:val="22"/>
          <w:szCs w:val="22"/>
        </w:rPr>
        <w:t xml:space="preserve">, </w:t>
      </w:r>
      <w:r w:rsidRPr="00046686">
        <w:rPr>
          <w:i/>
          <w:sz w:val="22"/>
          <w:szCs w:val="22"/>
        </w:rPr>
        <w:t>14</w:t>
      </w:r>
      <w:r w:rsidRPr="00046686">
        <w:rPr>
          <w:sz w:val="22"/>
          <w:szCs w:val="22"/>
        </w:rPr>
        <w:t>, 241</w:t>
      </w:r>
      <w:r w:rsidRPr="00046686">
        <w:rPr>
          <w:rFonts w:eastAsia="Calibri"/>
          <w:sz w:val="22"/>
          <w:szCs w:val="22"/>
        </w:rPr>
        <w:t>–</w:t>
      </w:r>
      <w:r w:rsidRPr="00046686">
        <w:rPr>
          <w:sz w:val="22"/>
          <w:szCs w:val="22"/>
        </w:rPr>
        <w:t xml:space="preserve">260. </w:t>
      </w:r>
      <w:hyperlink r:id="rId14" w:tgtFrame="_blank" w:history="1">
        <w:r w:rsidRPr="00046686">
          <w:rPr>
            <w:sz w:val="22"/>
            <w:szCs w:val="22"/>
          </w:rPr>
          <w:t>http://dx.doi.org/10.1002/(SICI)1520-6793(199705)14:3&lt;241::AID-MAR3&gt;3.0.CO;2-B</w:t>
        </w:r>
      </w:hyperlink>
    </w:p>
    <w:p w:rsidR="00046686" w:rsidRPr="00046686" w:rsidRDefault="00046686" w:rsidP="002252A5">
      <w:pPr>
        <w:spacing w:after="80" w:line="240" w:lineRule="exact"/>
        <w:ind w:left="440" w:hangingChars="200" w:hanging="440"/>
        <w:rPr>
          <w:sz w:val="22"/>
          <w:szCs w:val="22"/>
        </w:rPr>
      </w:pPr>
      <w:r w:rsidRPr="00046686">
        <w:rPr>
          <w:sz w:val="22"/>
          <w:szCs w:val="22"/>
        </w:rPr>
        <w:t xml:space="preserve">Danaher, P. J., </w:t>
      </w:r>
      <w:r w:rsidR="00646D41">
        <w:rPr>
          <w:sz w:val="22"/>
          <w:szCs w:val="22"/>
        </w:rPr>
        <w:t>and</w:t>
      </w:r>
      <w:r w:rsidR="001D01CA">
        <w:rPr>
          <w:sz w:val="22"/>
          <w:szCs w:val="22"/>
        </w:rPr>
        <w:t xml:space="preserve"> </w:t>
      </w:r>
      <w:proofErr w:type="spellStart"/>
      <w:r w:rsidR="001D01CA">
        <w:rPr>
          <w:sz w:val="22"/>
          <w:szCs w:val="22"/>
        </w:rPr>
        <w:t>Haddrell</w:t>
      </w:r>
      <w:proofErr w:type="spellEnd"/>
      <w:r w:rsidR="001D01CA">
        <w:rPr>
          <w:sz w:val="22"/>
          <w:szCs w:val="22"/>
        </w:rPr>
        <w:t>, V. (1996)</w:t>
      </w:r>
      <w:r w:rsidRPr="00046686">
        <w:rPr>
          <w:sz w:val="22"/>
          <w:szCs w:val="22"/>
        </w:rPr>
        <w:t xml:space="preserve"> </w:t>
      </w:r>
      <w:r w:rsidR="001D01CA">
        <w:rPr>
          <w:sz w:val="22"/>
          <w:szCs w:val="22"/>
        </w:rPr>
        <w:t>‘</w:t>
      </w:r>
      <w:r w:rsidRPr="00046686">
        <w:rPr>
          <w:sz w:val="22"/>
          <w:szCs w:val="22"/>
        </w:rPr>
        <w:t xml:space="preserve">A comparison of question scales used for </w:t>
      </w:r>
      <w:r w:rsidR="001D01CA">
        <w:rPr>
          <w:sz w:val="22"/>
          <w:szCs w:val="22"/>
        </w:rPr>
        <w:t>measuring customer satisfaction,’</w:t>
      </w:r>
      <w:r w:rsidRPr="00046686">
        <w:rPr>
          <w:i/>
          <w:sz w:val="22"/>
          <w:szCs w:val="22"/>
        </w:rPr>
        <w:t xml:space="preserve"> International Journal of Service Industry Management</w:t>
      </w:r>
      <w:r w:rsidRPr="00046686">
        <w:rPr>
          <w:sz w:val="22"/>
          <w:szCs w:val="22"/>
        </w:rPr>
        <w:t xml:space="preserve">, </w:t>
      </w:r>
      <w:r w:rsidRPr="00046686">
        <w:rPr>
          <w:i/>
          <w:sz w:val="22"/>
          <w:szCs w:val="22"/>
        </w:rPr>
        <w:t>7</w:t>
      </w:r>
      <w:r w:rsidRPr="00046686">
        <w:rPr>
          <w:sz w:val="22"/>
          <w:szCs w:val="22"/>
        </w:rPr>
        <w:t>(4), 4</w:t>
      </w:r>
      <w:r w:rsidRPr="00046686">
        <w:rPr>
          <w:rFonts w:eastAsia="Calibri"/>
          <w:sz w:val="22"/>
          <w:szCs w:val="22"/>
        </w:rPr>
        <w:t>–</w:t>
      </w:r>
      <w:r w:rsidRPr="00046686">
        <w:rPr>
          <w:sz w:val="22"/>
          <w:szCs w:val="22"/>
        </w:rPr>
        <w:t xml:space="preserve">26. </w:t>
      </w:r>
      <w:hyperlink r:id="rId15" w:tgtFrame="_blank" w:history="1">
        <w:r w:rsidRPr="00046686">
          <w:rPr>
            <w:sz w:val="22"/>
            <w:szCs w:val="22"/>
          </w:rPr>
          <w:t>http://dx.doi.org/10.1108/09564239610129922</w:t>
        </w:r>
      </w:hyperlink>
    </w:p>
    <w:p w:rsidR="00046686" w:rsidRPr="00046686" w:rsidRDefault="00046686" w:rsidP="002252A5">
      <w:pPr>
        <w:autoSpaceDN w:val="0"/>
        <w:spacing w:after="80" w:line="240" w:lineRule="exact"/>
        <w:ind w:left="440" w:hangingChars="200" w:hanging="440"/>
        <w:rPr>
          <w:sz w:val="22"/>
          <w:szCs w:val="22"/>
        </w:rPr>
      </w:pPr>
      <w:r w:rsidRPr="00046686">
        <w:rPr>
          <w:sz w:val="22"/>
          <w:szCs w:val="22"/>
        </w:rPr>
        <w:t xml:space="preserve">Davis, F. D., </w:t>
      </w:r>
      <w:proofErr w:type="spellStart"/>
      <w:r w:rsidRPr="00046686">
        <w:rPr>
          <w:sz w:val="22"/>
          <w:szCs w:val="22"/>
        </w:rPr>
        <w:t>Bagozzi</w:t>
      </w:r>
      <w:proofErr w:type="spellEnd"/>
      <w:r w:rsidRPr="00046686">
        <w:rPr>
          <w:sz w:val="22"/>
          <w:szCs w:val="22"/>
        </w:rPr>
        <w:t xml:space="preserve">, R. P., </w:t>
      </w:r>
      <w:r w:rsidR="00646D41">
        <w:rPr>
          <w:sz w:val="22"/>
          <w:szCs w:val="22"/>
        </w:rPr>
        <w:t>and</w:t>
      </w:r>
      <w:r w:rsidR="001D01CA">
        <w:rPr>
          <w:sz w:val="22"/>
          <w:szCs w:val="22"/>
        </w:rPr>
        <w:t xml:space="preserve"> </w:t>
      </w:r>
      <w:proofErr w:type="spellStart"/>
      <w:r w:rsidR="001D01CA">
        <w:rPr>
          <w:sz w:val="22"/>
          <w:szCs w:val="22"/>
        </w:rPr>
        <w:t>Warshaw</w:t>
      </w:r>
      <w:proofErr w:type="spellEnd"/>
      <w:r w:rsidR="001D01CA">
        <w:rPr>
          <w:sz w:val="22"/>
          <w:szCs w:val="22"/>
        </w:rPr>
        <w:t>, P. R. (1989)</w:t>
      </w:r>
      <w:r w:rsidRPr="00046686">
        <w:rPr>
          <w:sz w:val="22"/>
          <w:szCs w:val="22"/>
        </w:rPr>
        <w:t xml:space="preserve"> </w:t>
      </w:r>
      <w:r w:rsidR="001D01CA">
        <w:rPr>
          <w:sz w:val="22"/>
          <w:szCs w:val="22"/>
        </w:rPr>
        <w:t>‘</w:t>
      </w:r>
      <w:r w:rsidRPr="00046686">
        <w:rPr>
          <w:sz w:val="22"/>
          <w:szCs w:val="22"/>
        </w:rPr>
        <w:t>User acceptance of computer technology: A compa</w:t>
      </w:r>
      <w:r w:rsidR="001D01CA">
        <w:rPr>
          <w:sz w:val="22"/>
          <w:szCs w:val="22"/>
        </w:rPr>
        <w:t>rison of two theoretical models,’</w:t>
      </w:r>
      <w:r w:rsidRPr="00046686">
        <w:rPr>
          <w:sz w:val="22"/>
          <w:szCs w:val="22"/>
        </w:rPr>
        <w:t xml:space="preserve"> </w:t>
      </w:r>
      <w:r w:rsidRPr="00046686">
        <w:rPr>
          <w:i/>
          <w:sz w:val="22"/>
          <w:szCs w:val="22"/>
        </w:rPr>
        <w:t>Management Science</w:t>
      </w:r>
      <w:r w:rsidRPr="00046686">
        <w:rPr>
          <w:sz w:val="22"/>
          <w:szCs w:val="22"/>
        </w:rPr>
        <w:t xml:space="preserve">, </w:t>
      </w:r>
      <w:r w:rsidRPr="00046686">
        <w:rPr>
          <w:i/>
          <w:sz w:val="22"/>
          <w:szCs w:val="22"/>
        </w:rPr>
        <w:t>35</w:t>
      </w:r>
      <w:r w:rsidRPr="00046686">
        <w:rPr>
          <w:sz w:val="22"/>
          <w:szCs w:val="22"/>
        </w:rPr>
        <w:t xml:space="preserve">(8), 982–1003. </w:t>
      </w:r>
      <w:hyperlink r:id="rId16" w:tgtFrame="_blank" w:history="1">
        <w:r w:rsidRPr="00046686">
          <w:rPr>
            <w:sz w:val="22"/>
            <w:szCs w:val="22"/>
          </w:rPr>
          <w:t>http://dx.doi.org/10.1287/mnsc.35.8.982</w:t>
        </w:r>
      </w:hyperlink>
    </w:p>
    <w:p w:rsidR="00046686" w:rsidRPr="00046686" w:rsidRDefault="00046686" w:rsidP="002252A5">
      <w:pPr>
        <w:autoSpaceDN w:val="0"/>
        <w:spacing w:after="80" w:line="240" w:lineRule="exact"/>
        <w:ind w:left="440" w:hangingChars="200" w:hanging="440"/>
        <w:rPr>
          <w:sz w:val="22"/>
          <w:szCs w:val="22"/>
        </w:rPr>
      </w:pPr>
      <w:proofErr w:type="spellStart"/>
      <w:r w:rsidRPr="00046686">
        <w:rPr>
          <w:sz w:val="22"/>
          <w:szCs w:val="22"/>
        </w:rPr>
        <w:t>DeVellis</w:t>
      </w:r>
      <w:proofErr w:type="spellEnd"/>
      <w:r w:rsidRPr="00046686">
        <w:rPr>
          <w:sz w:val="22"/>
          <w:szCs w:val="22"/>
        </w:rPr>
        <w:t xml:space="preserve">, R. F. (2003). </w:t>
      </w:r>
      <w:r w:rsidRPr="00046686">
        <w:rPr>
          <w:i/>
          <w:sz w:val="22"/>
          <w:szCs w:val="22"/>
        </w:rPr>
        <w:t>Scale development: theory and applications</w:t>
      </w:r>
      <w:r w:rsidRPr="00046686">
        <w:rPr>
          <w:sz w:val="22"/>
          <w:szCs w:val="22"/>
        </w:rPr>
        <w:t xml:space="preserve"> (2nd ed.), Newbury Park, CA: Sage.</w:t>
      </w:r>
    </w:p>
    <w:p w:rsidR="00046686" w:rsidRPr="00046686" w:rsidRDefault="00046686" w:rsidP="00187415">
      <w:pPr>
        <w:pStyle w:val="NoSpacing"/>
        <w:jc w:val="both"/>
        <w:rPr>
          <w:rFonts w:ascii="Times New Roman" w:hAnsi="Times New Roman" w:cs="Times New Roman"/>
        </w:rPr>
      </w:pPr>
      <w:proofErr w:type="spellStart"/>
      <w:r w:rsidRPr="00046686">
        <w:rPr>
          <w:rFonts w:ascii="Times New Roman" w:hAnsi="Times New Roman" w:cs="Times New Roman"/>
        </w:rPr>
        <w:t>Dube</w:t>
      </w:r>
      <w:proofErr w:type="spellEnd"/>
      <w:r w:rsidRPr="00046686">
        <w:rPr>
          <w:rFonts w:ascii="Times New Roman" w:hAnsi="Times New Roman" w:cs="Times New Roman"/>
        </w:rPr>
        <w:t xml:space="preserve">, T. F. (2011) </w:t>
      </w:r>
      <w:r w:rsidR="001D01CA">
        <w:rPr>
          <w:rFonts w:ascii="Times New Roman" w:hAnsi="Times New Roman" w:cs="Times New Roman"/>
        </w:rPr>
        <w:t>‘</w:t>
      </w:r>
      <w:r w:rsidRPr="00046686">
        <w:rPr>
          <w:rFonts w:ascii="Times New Roman" w:hAnsi="Times New Roman" w:cs="Times New Roman"/>
        </w:rPr>
        <w:t>The Effects of Mobile Number Portability on Consumers</w:t>
      </w:r>
      <w:r w:rsidR="001D01CA">
        <w:rPr>
          <w:rFonts w:ascii="Times New Roman" w:hAnsi="Times New Roman" w:cs="Times New Roman"/>
        </w:rPr>
        <w:t xml:space="preserve">,’ </w:t>
      </w:r>
      <w:r w:rsidRPr="00046686">
        <w:rPr>
          <w:rFonts w:ascii="Times New Roman" w:hAnsi="Times New Roman" w:cs="Times New Roman"/>
        </w:rPr>
        <w:t>Doctoral</w:t>
      </w:r>
      <w:r w:rsidR="001D01CA">
        <w:rPr>
          <w:rFonts w:ascii="Times New Roman" w:hAnsi="Times New Roman" w:cs="Times New Roman"/>
        </w:rPr>
        <w:t xml:space="preserve"> </w:t>
      </w:r>
      <w:r w:rsidRPr="00046686">
        <w:rPr>
          <w:rFonts w:ascii="Times New Roman" w:hAnsi="Times New Roman" w:cs="Times New Roman"/>
        </w:rPr>
        <w:t>dissertation,</w:t>
      </w:r>
      <w:r w:rsidRPr="00046686">
        <w:rPr>
          <w:rFonts w:ascii="Times New Roman" w:hAnsi="Times New Roman" w:cs="Times New Roman"/>
        </w:rPr>
        <w:tab/>
      </w:r>
      <w:r w:rsidR="001D01CA">
        <w:rPr>
          <w:rFonts w:ascii="Times New Roman" w:hAnsi="Times New Roman" w:cs="Times New Roman"/>
        </w:rPr>
        <w:t>University of the Witwatersrand</w:t>
      </w:r>
      <w:r w:rsidRPr="00046686">
        <w:rPr>
          <w:rFonts w:ascii="Times New Roman" w:hAnsi="Times New Roman" w:cs="Times New Roman"/>
        </w:rPr>
        <w:t>.</w:t>
      </w:r>
    </w:p>
    <w:p w:rsidR="00046686" w:rsidRPr="00046686" w:rsidRDefault="00046686" w:rsidP="002252A5">
      <w:pPr>
        <w:autoSpaceDE w:val="0"/>
        <w:autoSpaceDN w:val="0"/>
        <w:spacing w:after="80" w:line="240" w:lineRule="exact"/>
        <w:ind w:left="440" w:hangingChars="200" w:hanging="440"/>
        <w:rPr>
          <w:sz w:val="22"/>
          <w:szCs w:val="22"/>
        </w:rPr>
      </w:pPr>
      <w:proofErr w:type="spellStart"/>
      <w:r w:rsidRPr="00046686">
        <w:rPr>
          <w:sz w:val="22"/>
          <w:szCs w:val="22"/>
        </w:rPr>
        <w:lastRenderedPageBreak/>
        <w:t>Gans</w:t>
      </w:r>
      <w:proofErr w:type="spellEnd"/>
      <w:r w:rsidRPr="00046686">
        <w:rPr>
          <w:sz w:val="22"/>
          <w:szCs w:val="22"/>
        </w:rPr>
        <w:t xml:space="preserve">, J. S., </w:t>
      </w:r>
      <w:r w:rsidR="00646D41">
        <w:rPr>
          <w:sz w:val="22"/>
          <w:szCs w:val="22"/>
        </w:rPr>
        <w:t>and</w:t>
      </w:r>
      <w:r w:rsidR="001D01CA">
        <w:rPr>
          <w:sz w:val="22"/>
          <w:szCs w:val="22"/>
        </w:rPr>
        <w:t xml:space="preserve"> King, S. P. (2000)</w:t>
      </w:r>
      <w:r w:rsidRPr="00046686">
        <w:rPr>
          <w:sz w:val="22"/>
          <w:szCs w:val="22"/>
        </w:rPr>
        <w:t xml:space="preserve"> </w:t>
      </w:r>
      <w:r w:rsidR="001D01CA">
        <w:rPr>
          <w:sz w:val="22"/>
          <w:szCs w:val="22"/>
        </w:rPr>
        <w:t>‘</w:t>
      </w:r>
      <w:r w:rsidRPr="00046686">
        <w:rPr>
          <w:sz w:val="22"/>
          <w:szCs w:val="22"/>
        </w:rPr>
        <w:t>Mobile network competition, customer ignorance and fixed-to mobile call prices</w:t>
      </w:r>
      <w:r w:rsidR="001D01CA">
        <w:rPr>
          <w:sz w:val="22"/>
          <w:szCs w:val="22"/>
        </w:rPr>
        <w:t>,’</w:t>
      </w:r>
      <w:r w:rsidRPr="00046686">
        <w:rPr>
          <w:sz w:val="22"/>
          <w:szCs w:val="22"/>
        </w:rPr>
        <w:t xml:space="preserve"> </w:t>
      </w:r>
      <w:proofErr w:type="gramStart"/>
      <w:r w:rsidRPr="00046686">
        <w:rPr>
          <w:i/>
          <w:sz w:val="22"/>
          <w:szCs w:val="22"/>
        </w:rPr>
        <w:t>Inform</w:t>
      </w:r>
      <w:proofErr w:type="gramEnd"/>
      <w:r w:rsidRPr="00046686">
        <w:rPr>
          <w:i/>
          <w:sz w:val="22"/>
          <w:szCs w:val="22"/>
        </w:rPr>
        <w:t>. Econ. Policy</w:t>
      </w:r>
      <w:r w:rsidRPr="00046686">
        <w:rPr>
          <w:sz w:val="22"/>
          <w:szCs w:val="22"/>
        </w:rPr>
        <w:t xml:space="preserve">, </w:t>
      </w:r>
      <w:r w:rsidRPr="00046686">
        <w:rPr>
          <w:i/>
          <w:sz w:val="22"/>
          <w:szCs w:val="22"/>
        </w:rPr>
        <w:t>12</w:t>
      </w:r>
      <w:r w:rsidRPr="00046686">
        <w:rPr>
          <w:sz w:val="22"/>
          <w:szCs w:val="22"/>
        </w:rPr>
        <w:t>, 301</w:t>
      </w:r>
      <w:r w:rsidRPr="00046686">
        <w:rPr>
          <w:rFonts w:eastAsia="Calibri"/>
          <w:sz w:val="22"/>
          <w:szCs w:val="22"/>
        </w:rPr>
        <w:t>–</w:t>
      </w:r>
      <w:r w:rsidRPr="00046686">
        <w:rPr>
          <w:sz w:val="22"/>
          <w:szCs w:val="22"/>
        </w:rPr>
        <w:t xml:space="preserve">327. </w:t>
      </w:r>
      <w:hyperlink r:id="rId17" w:tgtFrame="_blank" w:history="1">
        <w:r w:rsidRPr="00046686">
          <w:rPr>
            <w:sz w:val="22"/>
            <w:szCs w:val="22"/>
          </w:rPr>
          <w:t>http://dx.doi.org/10.1016/S0167-6245(00)00007-X</w:t>
        </w:r>
      </w:hyperlink>
    </w:p>
    <w:p w:rsidR="00046686" w:rsidRDefault="00046686" w:rsidP="002252A5">
      <w:pPr>
        <w:spacing w:after="80" w:line="240" w:lineRule="exact"/>
        <w:ind w:left="440" w:hangingChars="200" w:hanging="440"/>
        <w:rPr>
          <w:sz w:val="22"/>
          <w:szCs w:val="22"/>
        </w:rPr>
      </w:pPr>
      <w:proofErr w:type="spellStart"/>
      <w:r w:rsidRPr="00046686">
        <w:rPr>
          <w:rFonts w:eastAsia="Calibri"/>
          <w:sz w:val="22"/>
          <w:szCs w:val="22"/>
        </w:rPr>
        <w:t>Hoehle</w:t>
      </w:r>
      <w:proofErr w:type="spellEnd"/>
      <w:r w:rsidRPr="00046686">
        <w:rPr>
          <w:rFonts w:eastAsia="Calibri"/>
          <w:sz w:val="22"/>
          <w:szCs w:val="22"/>
        </w:rPr>
        <w:t xml:space="preserve">, H., </w:t>
      </w:r>
      <w:r w:rsidR="00646D41">
        <w:rPr>
          <w:rFonts w:eastAsia="Calibri"/>
          <w:sz w:val="22"/>
          <w:szCs w:val="22"/>
        </w:rPr>
        <w:t>and</w:t>
      </w:r>
      <w:r w:rsidRPr="00046686">
        <w:rPr>
          <w:rFonts w:eastAsia="Calibri"/>
          <w:sz w:val="22"/>
          <w:szCs w:val="22"/>
        </w:rPr>
        <w:t xml:space="preserve"> </w:t>
      </w:r>
      <w:proofErr w:type="spellStart"/>
      <w:r w:rsidRPr="00046686">
        <w:rPr>
          <w:rFonts w:eastAsia="Calibri"/>
          <w:sz w:val="22"/>
          <w:szCs w:val="22"/>
        </w:rPr>
        <w:t>Scornavacca</w:t>
      </w:r>
      <w:proofErr w:type="spellEnd"/>
      <w:r w:rsidRPr="00046686">
        <w:rPr>
          <w:rFonts w:eastAsia="Calibri"/>
          <w:sz w:val="22"/>
          <w:szCs w:val="22"/>
        </w:rPr>
        <w:t>, E.,</w:t>
      </w:r>
      <w:r w:rsidRPr="00046686">
        <w:rPr>
          <w:sz w:val="22"/>
          <w:szCs w:val="22"/>
        </w:rPr>
        <w:t xml:space="preserve"> </w:t>
      </w:r>
      <w:r w:rsidR="00646D41">
        <w:rPr>
          <w:rFonts w:eastAsia="Calibri"/>
          <w:sz w:val="22"/>
          <w:szCs w:val="22"/>
        </w:rPr>
        <w:t>and</w:t>
      </w:r>
      <w:r w:rsidRPr="00046686">
        <w:rPr>
          <w:rFonts w:eastAsia="Calibri"/>
          <w:sz w:val="22"/>
          <w:szCs w:val="22"/>
        </w:rPr>
        <w:t xml:space="preserve"> Huff</w:t>
      </w:r>
      <w:r w:rsidRPr="00046686">
        <w:rPr>
          <w:sz w:val="22"/>
          <w:szCs w:val="22"/>
        </w:rPr>
        <w:t>,</w:t>
      </w:r>
      <w:r w:rsidR="001D01CA">
        <w:rPr>
          <w:rFonts w:eastAsia="Calibri"/>
          <w:sz w:val="22"/>
          <w:szCs w:val="22"/>
        </w:rPr>
        <w:t xml:space="preserve"> S. (2012)</w:t>
      </w:r>
      <w:r w:rsidRPr="00046686">
        <w:rPr>
          <w:rFonts w:eastAsia="Calibri"/>
          <w:sz w:val="22"/>
          <w:szCs w:val="22"/>
        </w:rPr>
        <w:t xml:space="preserve"> </w:t>
      </w:r>
      <w:r w:rsidR="001D01CA">
        <w:rPr>
          <w:rFonts w:eastAsia="Calibri"/>
          <w:sz w:val="22"/>
          <w:szCs w:val="22"/>
        </w:rPr>
        <w:t>‘</w:t>
      </w:r>
      <w:r w:rsidRPr="00046686">
        <w:rPr>
          <w:rFonts w:eastAsia="Calibri"/>
          <w:sz w:val="22"/>
          <w:szCs w:val="22"/>
        </w:rPr>
        <w:t>Three decades of research on consumer</w:t>
      </w:r>
      <w:r w:rsidRPr="00046686">
        <w:rPr>
          <w:sz w:val="22"/>
          <w:szCs w:val="22"/>
        </w:rPr>
        <w:t xml:space="preserve"> </w:t>
      </w:r>
      <w:r w:rsidRPr="00046686">
        <w:rPr>
          <w:rFonts w:eastAsia="Calibri"/>
          <w:sz w:val="22"/>
          <w:szCs w:val="22"/>
        </w:rPr>
        <w:t>adoption and</w:t>
      </w:r>
      <w:r w:rsidRPr="00046686">
        <w:rPr>
          <w:sz w:val="22"/>
          <w:szCs w:val="22"/>
        </w:rPr>
        <w:t xml:space="preserve"> </w:t>
      </w:r>
      <w:r w:rsidRPr="00046686">
        <w:rPr>
          <w:rFonts w:eastAsia="Calibri"/>
          <w:sz w:val="22"/>
          <w:szCs w:val="22"/>
        </w:rPr>
        <w:t>utilization of electronic banking channels: A literature analysis</w:t>
      </w:r>
      <w:r w:rsidR="001D01CA">
        <w:rPr>
          <w:rFonts w:eastAsia="Calibri"/>
          <w:sz w:val="22"/>
          <w:szCs w:val="22"/>
        </w:rPr>
        <w:t>,’</w:t>
      </w:r>
      <w:r w:rsidRPr="00046686">
        <w:rPr>
          <w:rFonts w:eastAsia="Calibri"/>
          <w:sz w:val="22"/>
          <w:szCs w:val="22"/>
        </w:rPr>
        <w:t xml:space="preserve"> </w:t>
      </w:r>
      <w:r w:rsidRPr="00046686">
        <w:rPr>
          <w:rFonts w:eastAsia="Calibri"/>
          <w:i/>
          <w:sz w:val="22"/>
          <w:szCs w:val="22"/>
        </w:rPr>
        <w:t xml:space="preserve">Decision Support Systems, 54, </w:t>
      </w:r>
      <w:r w:rsidRPr="00046686">
        <w:rPr>
          <w:rFonts w:eastAsia="Calibri"/>
          <w:sz w:val="22"/>
          <w:szCs w:val="22"/>
        </w:rPr>
        <w:t>122–132.</w:t>
      </w:r>
      <w:r w:rsidRPr="00046686">
        <w:rPr>
          <w:sz w:val="22"/>
          <w:szCs w:val="22"/>
        </w:rPr>
        <w:t xml:space="preserve"> </w:t>
      </w:r>
      <w:hyperlink r:id="rId18" w:tgtFrame="_blank" w:history="1">
        <w:r w:rsidRPr="00046686">
          <w:rPr>
            <w:sz w:val="22"/>
            <w:szCs w:val="22"/>
          </w:rPr>
          <w:t>http://dx.doi.org/10.1016/j.dss.2012.04.010</w:t>
        </w:r>
      </w:hyperlink>
      <w:r w:rsidR="00C01619">
        <w:rPr>
          <w:sz w:val="22"/>
          <w:szCs w:val="22"/>
        </w:rPr>
        <w:t>.</w:t>
      </w:r>
    </w:p>
    <w:p w:rsidR="00C01619" w:rsidRPr="00046686" w:rsidRDefault="00492682" w:rsidP="00C01619">
      <w:pPr>
        <w:spacing w:after="80" w:line="240" w:lineRule="exact"/>
        <w:ind w:left="440" w:hangingChars="200" w:hanging="440"/>
        <w:rPr>
          <w:sz w:val="22"/>
          <w:szCs w:val="22"/>
        </w:rPr>
      </w:pPr>
      <w:r>
        <w:rPr>
          <w:sz w:val="22"/>
          <w:szCs w:val="22"/>
        </w:rPr>
        <w:t>Homburg, C.</w:t>
      </w:r>
      <w:r w:rsidR="002206B5">
        <w:rPr>
          <w:sz w:val="22"/>
          <w:szCs w:val="22"/>
        </w:rPr>
        <w:t>,</w:t>
      </w:r>
      <w:r>
        <w:rPr>
          <w:sz w:val="22"/>
          <w:szCs w:val="22"/>
        </w:rPr>
        <w:t xml:space="preserve"> </w:t>
      </w:r>
      <w:r w:rsidR="00646D41">
        <w:rPr>
          <w:sz w:val="22"/>
          <w:szCs w:val="22"/>
        </w:rPr>
        <w:t>and</w:t>
      </w:r>
      <w:r w:rsidR="00C01619" w:rsidRPr="00C01619">
        <w:rPr>
          <w:sz w:val="22"/>
          <w:szCs w:val="22"/>
        </w:rPr>
        <w:t xml:space="preserve"> </w:t>
      </w:r>
      <w:proofErr w:type="spellStart"/>
      <w:r w:rsidR="00C01619" w:rsidRPr="00C01619">
        <w:rPr>
          <w:sz w:val="22"/>
          <w:szCs w:val="22"/>
        </w:rPr>
        <w:t>Giering</w:t>
      </w:r>
      <w:proofErr w:type="spellEnd"/>
      <w:r w:rsidR="001D01CA">
        <w:rPr>
          <w:sz w:val="22"/>
          <w:szCs w:val="22"/>
        </w:rPr>
        <w:t>, A. (2001)</w:t>
      </w:r>
      <w:r w:rsidR="00C01619" w:rsidRPr="00C01619">
        <w:rPr>
          <w:sz w:val="22"/>
          <w:szCs w:val="22"/>
        </w:rPr>
        <w:t xml:space="preserve"> </w:t>
      </w:r>
      <w:r w:rsidR="001D01CA">
        <w:rPr>
          <w:sz w:val="22"/>
          <w:szCs w:val="22"/>
        </w:rPr>
        <w:t>‘</w:t>
      </w:r>
      <w:r w:rsidR="00C01619" w:rsidRPr="00C01619">
        <w:rPr>
          <w:sz w:val="22"/>
          <w:szCs w:val="22"/>
        </w:rPr>
        <w:t xml:space="preserve">Personal Characteristics as Moderators of the Relationship </w:t>
      </w:r>
      <w:proofErr w:type="gramStart"/>
      <w:r w:rsidR="00C01619" w:rsidRPr="00C01619">
        <w:rPr>
          <w:sz w:val="22"/>
          <w:szCs w:val="22"/>
        </w:rPr>
        <w:t>Between</w:t>
      </w:r>
      <w:proofErr w:type="gramEnd"/>
      <w:r w:rsidR="00C01619" w:rsidRPr="00C01619">
        <w:rPr>
          <w:sz w:val="22"/>
          <w:szCs w:val="22"/>
        </w:rPr>
        <w:t xml:space="preserve"> Customer Satisfaction and Loyalty – An Empirical Ana</w:t>
      </w:r>
      <w:r w:rsidR="00C01619">
        <w:rPr>
          <w:sz w:val="22"/>
          <w:szCs w:val="22"/>
        </w:rPr>
        <w:t>lysis,</w:t>
      </w:r>
      <w:r w:rsidR="001D01CA">
        <w:rPr>
          <w:sz w:val="22"/>
          <w:szCs w:val="22"/>
        </w:rPr>
        <w:t>’</w:t>
      </w:r>
      <w:r w:rsidR="00C01619">
        <w:rPr>
          <w:sz w:val="22"/>
          <w:szCs w:val="22"/>
        </w:rPr>
        <w:t xml:space="preserve"> </w:t>
      </w:r>
      <w:r w:rsidR="00C01619" w:rsidRPr="00C01619">
        <w:rPr>
          <w:i/>
          <w:sz w:val="22"/>
          <w:szCs w:val="22"/>
        </w:rPr>
        <w:t xml:space="preserve">Psychology </w:t>
      </w:r>
      <w:r w:rsidR="00646D41">
        <w:rPr>
          <w:i/>
          <w:sz w:val="22"/>
          <w:szCs w:val="22"/>
        </w:rPr>
        <w:t>and</w:t>
      </w:r>
      <w:r w:rsidR="00C01619" w:rsidRPr="00C01619">
        <w:rPr>
          <w:i/>
          <w:sz w:val="22"/>
          <w:szCs w:val="22"/>
        </w:rPr>
        <w:t xml:space="preserve"> Marketing</w:t>
      </w:r>
      <w:r w:rsidR="00C01619">
        <w:rPr>
          <w:sz w:val="22"/>
          <w:szCs w:val="22"/>
        </w:rPr>
        <w:t xml:space="preserve">, </w:t>
      </w:r>
      <w:r w:rsidR="00C01619" w:rsidRPr="00C01619">
        <w:rPr>
          <w:i/>
          <w:sz w:val="22"/>
          <w:szCs w:val="22"/>
        </w:rPr>
        <w:t>18</w:t>
      </w:r>
      <w:r w:rsidR="00C01619">
        <w:rPr>
          <w:sz w:val="22"/>
          <w:szCs w:val="22"/>
        </w:rPr>
        <w:t xml:space="preserve"> (1), 43-66</w:t>
      </w:r>
      <w:r w:rsidR="00C01619" w:rsidRPr="00C01619">
        <w:rPr>
          <w:sz w:val="22"/>
          <w:szCs w:val="22"/>
        </w:rPr>
        <w:t>.</w:t>
      </w:r>
    </w:p>
    <w:p w:rsidR="00046686" w:rsidRPr="00046686" w:rsidRDefault="00046686" w:rsidP="00187415">
      <w:pPr>
        <w:pStyle w:val="NoSpacing"/>
        <w:jc w:val="both"/>
        <w:rPr>
          <w:rFonts w:ascii="Times New Roman" w:hAnsi="Times New Roman" w:cs="Times New Roman"/>
        </w:rPr>
      </w:pPr>
      <w:proofErr w:type="spellStart"/>
      <w:r w:rsidRPr="00046686">
        <w:rPr>
          <w:rFonts w:ascii="Times New Roman" w:hAnsi="Times New Roman" w:cs="Times New Roman"/>
        </w:rPr>
        <w:t>Kagwathi</w:t>
      </w:r>
      <w:proofErr w:type="spellEnd"/>
      <w:r w:rsidRPr="00046686">
        <w:rPr>
          <w:rFonts w:ascii="Times New Roman" w:hAnsi="Times New Roman" w:cs="Times New Roman"/>
        </w:rPr>
        <w:t xml:space="preserve">, G. S., </w:t>
      </w:r>
      <w:proofErr w:type="spellStart"/>
      <w:r w:rsidRPr="00046686">
        <w:rPr>
          <w:rFonts w:ascii="Times New Roman" w:hAnsi="Times New Roman" w:cs="Times New Roman"/>
        </w:rPr>
        <w:t>Kamau</w:t>
      </w:r>
      <w:proofErr w:type="spellEnd"/>
      <w:r w:rsidRPr="00046686">
        <w:rPr>
          <w:rFonts w:ascii="Times New Roman" w:hAnsi="Times New Roman" w:cs="Times New Roman"/>
        </w:rPr>
        <w:t xml:space="preserve">, J. N., </w:t>
      </w:r>
      <w:proofErr w:type="spellStart"/>
      <w:r w:rsidRPr="00046686">
        <w:rPr>
          <w:rFonts w:ascii="Times New Roman" w:hAnsi="Times New Roman" w:cs="Times New Roman"/>
        </w:rPr>
        <w:t>Njau</w:t>
      </w:r>
      <w:proofErr w:type="spellEnd"/>
      <w:r w:rsidRPr="00046686">
        <w:rPr>
          <w:rFonts w:ascii="Times New Roman" w:hAnsi="Times New Roman" w:cs="Times New Roman"/>
        </w:rPr>
        <w:t xml:space="preserve">, M. M., </w:t>
      </w:r>
      <w:r w:rsidR="00646D41">
        <w:rPr>
          <w:rFonts w:ascii="Times New Roman" w:hAnsi="Times New Roman" w:cs="Times New Roman"/>
        </w:rPr>
        <w:t>and</w:t>
      </w:r>
      <w:r w:rsidRPr="00046686">
        <w:rPr>
          <w:rFonts w:ascii="Times New Roman" w:hAnsi="Times New Roman" w:cs="Times New Roman"/>
        </w:rPr>
        <w:t xml:space="preserve"> </w:t>
      </w:r>
      <w:proofErr w:type="spellStart"/>
      <w:r w:rsidRPr="00046686">
        <w:rPr>
          <w:rFonts w:ascii="Times New Roman" w:hAnsi="Times New Roman" w:cs="Times New Roman"/>
        </w:rPr>
        <w:t>Kagiira</w:t>
      </w:r>
      <w:proofErr w:type="spellEnd"/>
      <w:r w:rsidRPr="00046686">
        <w:rPr>
          <w:rFonts w:ascii="Times New Roman" w:hAnsi="Times New Roman" w:cs="Times New Roman"/>
        </w:rPr>
        <w:t>, E. K. (2013</w:t>
      </w:r>
      <w:r w:rsidR="001D01CA">
        <w:rPr>
          <w:rFonts w:ascii="Times New Roman" w:hAnsi="Times New Roman" w:cs="Times New Roman"/>
        </w:rPr>
        <w:t>)</w:t>
      </w:r>
      <w:r w:rsidR="00D301F3" w:rsidRPr="00046686">
        <w:rPr>
          <w:rFonts w:ascii="Times New Roman" w:hAnsi="Times New Roman" w:cs="Times New Roman"/>
        </w:rPr>
        <w:t xml:space="preserve"> </w:t>
      </w:r>
      <w:r w:rsidR="001D01CA">
        <w:rPr>
          <w:rFonts w:ascii="Times New Roman" w:hAnsi="Times New Roman" w:cs="Times New Roman"/>
        </w:rPr>
        <w:t>‘</w:t>
      </w:r>
      <w:r w:rsidR="00D301F3" w:rsidRPr="00046686">
        <w:rPr>
          <w:rFonts w:ascii="Times New Roman" w:hAnsi="Times New Roman" w:cs="Times New Roman"/>
        </w:rPr>
        <w:t>Factor Influencin</w:t>
      </w:r>
      <w:r w:rsidR="00040BEA">
        <w:rPr>
          <w:rFonts w:ascii="Times New Roman" w:hAnsi="Times New Roman" w:cs="Times New Roman"/>
        </w:rPr>
        <w:t xml:space="preserve">g </w:t>
      </w:r>
      <w:r w:rsidR="00D301F3">
        <w:rPr>
          <w:rFonts w:ascii="Times New Roman" w:hAnsi="Times New Roman" w:cs="Times New Roman"/>
        </w:rPr>
        <w:t>Mob</w:t>
      </w:r>
      <w:r w:rsidR="001D01CA">
        <w:rPr>
          <w:rFonts w:ascii="Times New Roman" w:hAnsi="Times New Roman" w:cs="Times New Roman"/>
        </w:rPr>
        <w:t>ile Number</w:t>
      </w:r>
      <w:r w:rsidR="001D01CA">
        <w:rPr>
          <w:rFonts w:ascii="Times New Roman" w:hAnsi="Times New Roman" w:cs="Times New Roman"/>
        </w:rPr>
        <w:tab/>
        <w:t xml:space="preserve">Portability (MNP) In </w:t>
      </w:r>
      <w:r w:rsidR="00D301F3">
        <w:rPr>
          <w:rFonts w:ascii="Times New Roman" w:hAnsi="Times New Roman" w:cs="Times New Roman"/>
        </w:rPr>
        <w:t>Kenya: The Case o</w:t>
      </w:r>
      <w:r w:rsidR="001D01CA">
        <w:rPr>
          <w:rFonts w:ascii="Times New Roman" w:hAnsi="Times New Roman" w:cs="Times New Roman"/>
        </w:rPr>
        <w:t xml:space="preserve">f Africa </w:t>
      </w:r>
      <w:r w:rsidR="00D301F3" w:rsidRPr="00046686">
        <w:rPr>
          <w:rFonts w:ascii="Times New Roman" w:hAnsi="Times New Roman" w:cs="Times New Roman"/>
        </w:rPr>
        <w:t>Nazarene University</w:t>
      </w:r>
      <w:r w:rsidR="001D01CA">
        <w:rPr>
          <w:rFonts w:ascii="Times New Roman" w:hAnsi="Times New Roman" w:cs="Times New Roman"/>
        </w:rPr>
        <w:t xml:space="preserve">,’ </w:t>
      </w:r>
      <w:r w:rsidR="001D01CA" w:rsidRPr="001D01CA">
        <w:rPr>
          <w:rFonts w:ascii="Times New Roman" w:hAnsi="Times New Roman" w:cs="Times New Roman"/>
          <w:i/>
        </w:rPr>
        <w:t>European Scie</w:t>
      </w:r>
      <w:r w:rsidR="00160E11">
        <w:rPr>
          <w:rFonts w:ascii="Times New Roman" w:hAnsi="Times New Roman" w:cs="Times New Roman"/>
          <w:i/>
        </w:rPr>
        <w:t>ntific</w:t>
      </w:r>
      <w:r w:rsidR="00160E11">
        <w:rPr>
          <w:rFonts w:ascii="Times New Roman" w:hAnsi="Times New Roman" w:cs="Times New Roman"/>
          <w:i/>
        </w:rPr>
        <w:tab/>
      </w:r>
      <w:r w:rsidR="001D01CA" w:rsidRPr="001D01CA">
        <w:rPr>
          <w:rFonts w:ascii="Times New Roman" w:hAnsi="Times New Roman" w:cs="Times New Roman"/>
          <w:i/>
        </w:rPr>
        <w:t>Journal</w:t>
      </w:r>
      <w:r w:rsidR="00160E11">
        <w:rPr>
          <w:rFonts w:ascii="Times New Roman" w:hAnsi="Times New Roman" w:cs="Times New Roman"/>
        </w:rPr>
        <w:t xml:space="preserve">, </w:t>
      </w:r>
      <w:r w:rsidRPr="00046686">
        <w:rPr>
          <w:rFonts w:ascii="Times New Roman" w:hAnsi="Times New Roman" w:cs="Times New Roman"/>
        </w:rPr>
        <w:t>9(21).</w:t>
      </w:r>
    </w:p>
    <w:p w:rsidR="00046686" w:rsidRPr="00046686" w:rsidRDefault="00160E11" w:rsidP="00187415">
      <w:pPr>
        <w:pStyle w:val="NoSpacing"/>
        <w:jc w:val="both"/>
        <w:rPr>
          <w:rFonts w:ascii="Times New Roman" w:hAnsi="Times New Roman" w:cs="Times New Roman"/>
        </w:rPr>
      </w:pPr>
      <w:proofErr w:type="spellStart"/>
      <w:r>
        <w:rPr>
          <w:rFonts w:ascii="Times New Roman" w:hAnsi="Times New Roman" w:cs="Times New Roman"/>
        </w:rPr>
        <w:t>Kangangi</w:t>
      </w:r>
      <w:proofErr w:type="spellEnd"/>
      <w:r>
        <w:rPr>
          <w:rFonts w:ascii="Times New Roman" w:hAnsi="Times New Roman" w:cs="Times New Roman"/>
        </w:rPr>
        <w:t>, M.T (2011)</w:t>
      </w:r>
      <w:r w:rsidR="00046686">
        <w:rPr>
          <w:rFonts w:ascii="Times New Roman" w:hAnsi="Times New Roman" w:cs="Times New Roman"/>
        </w:rPr>
        <w:t xml:space="preserve"> </w:t>
      </w:r>
      <w:r>
        <w:rPr>
          <w:rFonts w:ascii="Times New Roman" w:hAnsi="Times New Roman" w:cs="Times New Roman"/>
        </w:rPr>
        <w:t>‘</w:t>
      </w:r>
      <w:r w:rsidR="00046686" w:rsidRPr="00046686">
        <w:rPr>
          <w:rFonts w:ascii="Times New Roman" w:hAnsi="Times New Roman" w:cs="Times New Roman"/>
        </w:rPr>
        <w:t xml:space="preserve">The Consequences </w:t>
      </w:r>
      <w:r w:rsidR="00D301F3">
        <w:rPr>
          <w:rFonts w:ascii="Times New Roman" w:hAnsi="Times New Roman" w:cs="Times New Roman"/>
        </w:rPr>
        <w:t>of</w:t>
      </w:r>
      <w:r w:rsidR="00D301F3">
        <w:rPr>
          <w:rFonts w:ascii="Times New Roman" w:hAnsi="Times New Roman" w:cs="Times New Roman"/>
        </w:rPr>
        <w:tab/>
      </w:r>
      <w:r w:rsidR="00046686" w:rsidRPr="00046686">
        <w:rPr>
          <w:rFonts w:ascii="Times New Roman" w:hAnsi="Times New Roman" w:cs="Times New Roman"/>
        </w:rPr>
        <w:t xml:space="preserve">Mobile Number Portability in Kenya </w:t>
      </w:r>
      <w:r>
        <w:rPr>
          <w:rFonts w:ascii="Times New Roman" w:hAnsi="Times New Roman" w:cs="Times New Roman"/>
        </w:rPr>
        <w:t xml:space="preserve">and </w:t>
      </w:r>
      <w:r w:rsidR="00046686">
        <w:rPr>
          <w:rFonts w:ascii="Times New Roman" w:hAnsi="Times New Roman" w:cs="Times New Roman"/>
        </w:rPr>
        <w:t xml:space="preserve">its usage </w:t>
      </w:r>
      <w:r w:rsidR="00D301F3">
        <w:rPr>
          <w:rFonts w:ascii="Times New Roman" w:hAnsi="Times New Roman" w:cs="Times New Roman"/>
        </w:rPr>
        <w:t>factors</w:t>
      </w:r>
      <w:r>
        <w:rPr>
          <w:rFonts w:ascii="Times New Roman" w:hAnsi="Times New Roman" w:cs="Times New Roman"/>
        </w:rPr>
        <w:t>,’</w:t>
      </w:r>
      <w:r w:rsidR="00D301F3">
        <w:rPr>
          <w:rFonts w:ascii="Times New Roman" w:hAnsi="Times New Roman" w:cs="Times New Roman"/>
        </w:rPr>
        <w:t xml:space="preserve"> </w:t>
      </w:r>
      <w:r w:rsidR="00046686" w:rsidRPr="00046686">
        <w:rPr>
          <w:rFonts w:ascii="Times New Roman" w:hAnsi="Times New Roman" w:cs="Times New Roman"/>
        </w:rPr>
        <w:t>School of Business,</w:t>
      </w:r>
      <w:r>
        <w:rPr>
          <w:rFonts w:ascii="Times New Roman" w:hAnsi="Times New Roman" w:cs="Times New Roman"/>
        </w:rPr>
        <w:t xml:space="preserve"> </w:t>
      </w:r>
      <w:r w:rsidR="00046686" w:rsidRPr="00046686">
        <w:rPr>
          <w:rFonts w:ascii="Times New Roman" w:hAnsi="Times New Roman" w:cs="Times New Roman"/>
        </w:rPr>
        <w:t>University of Nairobi.</w:t>
      </w:r>
    </w:p>
    <w:p w:rsidR="00046686" w:rsidRPr="00046686" w:rsidRDefault="00046686" w:rsidP="002252A5">
      <w:pPr>
        <w:autoSpaceDE w:val="0"/>
        <w:autoSpaceDN w:val="0"/>
        <w:spacing w:after="80" w:line="240" w:lineRule="exact"/>
        <w:ind w:left="440" w:hangingChars="200" w:hanging="440"/>
        <w:rPr>
          <w:sz w:val="22"/>
          <w:szCs w:val="22"/>
        </w:rPr>
      </w:pPr>
      <w:proofErr w:type="spellStart"/>
      <w:r w:rsidRPr="00046686">
        <w:rPr>
          <w:sz w:val="22"/>
          <w:szCs w:val="22"/>
        </w:rPr>
        <w:t>Larkotey</w:t>
      </w:r>
      <w:proofErr w:type="spellEnd"/>
      <w:r w:rsidRPr="00046686">
        <w:rPr>
          <w:sz w:val="22"/>
          <w:szCs w:val="22"/>
        </w:rPr>
        <w:t xml:space="preserve">, W. O., </w:t>
      </w:r>
      <w:proofErr w:type="spellStart"/>
      <w:r w:rsidRPr="00046686">
        <w:rPr>
          <w:sz w:val="22"/>
          <w:szCs w:val="22"/>
        </w:rPr>
        <w:t>Ansong</w:t>
      </w:r>
      <w:proofErr w:type="spellEnd"/>
      <w:r w:rsidRPr="00046686">
        <w:rPr>
          <w:sz w:val="22"/>
          <w:szCs w:val="22"/>
        </w:rPr>
        <w:t xml:space="preserve">, E. D., </w:t>
      </w:r>
      <w:proofErr w:type="spellStart"/>
      <w:r w:rsidRPr="00046686">
        <w:rPr>
          <w:sz w:val="22"/>
          <w:szCs w:val="22"/>
        </w:rPr>
        <w:t>Dam</w:t>
      </w:r>
      <w:r w:rsidR="00160E11">
        <w:rPr>
          <w:sz w:val="22"/>
          <w:szCs w:val="22"/>
        </w:rPr>
        <w:t>oah</w:t>
      </w:r>
      <w:proofErr w:type="spellEnd"/>
      <w:r w:rsidR="00160E11">
        <w:rPr>
          <w:sz w:val="22"/>
          <w:szCs w:val="22"/>
        </w:rPr>
        <w:t xml:space="preserve">, D., </w:t>
      </w:r>
      <w:proofErr w:type="spellStart"/>
      <w:r w:rsidR="00160E11">
        <w:rPr>
          <w:sz w:val="22"/>
          <w:szCs w:val="22"/>
        </w:rPr>
        <w:t>Abandoh</w:t>
      </w:r>
      <w:proofErr w:type="spellEnd"/>
      <w:r w:rsidR="00160E11">
        <w:rPr>
          <w:sz w:val="22"/>
          <w:szCs w:val="22"/>
        </w:rPr>
        <w:t>-Sam, J. (2012)</w:t>
      </w:r>
      <w:r w:rsidRPr="00046686">
        <w:rPr>
          <w:sz w:val="22"/>
          <w:szCs w:val="22"/>
        </w:rPr>
        <w:t xml:space="preserve"> </w:t>
      </w:r>
      <w:r w:rsidR="00160E11">
        <w:rPr>
          <w:sz w:val="22"/>
          <w:szCs w:val="22"/>
        </w:rPr>
        <w:t>‘</w:t>
      </w:r>
      <w:r w:rsidRPr="00046686">
        <w:rPr>
          <w:sz w:val="22"/>
          <w:szCs w:val="22"/>
        </w:rPr>
        <w:t>Mobile Number Portability in Developing Countries: Its successes and failures. Cas</w:t>
      </w:r>
      <w:r w:rsidR="00160E11">
        <w:rPr>
          <w:sz w:val="22"/>
          <w:szCs w:val="22"/>
        </w:rPr>
        <w:t>e Study—West African Sub-Region,’</w:t>
      </w:r>
      <w:r w:rsidRPr="00046686">
        <w:rPr>
          <w:sz w:val="22"/>
          <w:szCs w:val="22"/>
        </w:rPr>
        <w:t xml:space="preserve"> </w:t>
      </w:r>
      <w:r w:rsidRPr="00046686">
        <w:rPr>
          <w:i/>
          <w:sz w:val="22"/>
          <w:szCs w:val="22"/>
        </w:rPr>
        <w:t>International Journal of Societal Applications of Computer Science</w:t>
      </w:r>
      <w:r w:rsidRPr="00046686">
        <w:rPr>
          <w:sz w:val="22"/>
          <w:szCs w:val="22"/>
        </w:rPr>
        <w:t xml:space="preserve">, </w:t>
      </w:r>
      <w:r w:rsidRPr="00046686">
        <w:rPr>
          <w:i/>
          <w:sz w:val="22"/>
          <w:szCs w:val="22"/>
        </w:rPr>
        <w:t>1</w:t>
      </w:r>
      <w:r w:rsidRPr="00046686">
        <w:rPr>
          <w:sz w:val="22"/>
          <w:szCs w:val="22"/>
        </w:rPr>
        <w:t>(1), 44</w:t>
      </w:r>
      <w:r w:rsidRPr="00046686">
        <w:rPr>
          <w:rFonts w:eastAsia="Calibri"/>
          <w:sz w:val="22"/>
          <w:szCs w:val="22"/>
        </w:rPr>
        <w:t>–</w:t>
      </w:r>
      <w:r w:rsidRPr="00046686">
        <w:rPr>
          <w:sz w:val="22"/>
          <w:szCs w:val="22"/>
        </w:rPr>
        <w:t xml:space="preserve">55. </w:t>
      </w:r>
    </w:p>
    <w:p w:rsidR="00046686" w:rsidRPr="00046686" w:rsidRDefault="00046686" w:rsidP="002252A5">
      <w:pPr>
        <w:autoSpaceDE w:val="0"/>
        <w:autoSpaceDN w:val="0"/>
        <w:spacing w:after="80" w:line="240" w:lineRule="exact"/>
        <w:ind w:left="440" w:hangingChars="200" w:hanging="440"/>
        <w:rPr>
          <w:sz w:val="22"/>
          <w:szCs w:val="22"/>
        </w:rPr>
      </w:pPr>
      <w:r w:rsidRPr="00046686">
        <w:rPr>
          <w:sz w:val="22"/>
          <w:szCs w:val="22"/>
        </w:rPr>
        <w:t xml:space="preserve">Lee, M. K. O., Cheung, C. M. K., </w:t>
      </w:r>
      <w:r w:rsidR="00646D41">
        <w:rPr>
          <w:sz w:val="22"/>
          <w:szCs w:val="22"/>
        </w:rPr>
        <w:t>and</w:t>
      </w:r>
      <w:r w:rsidR="00160E11">
        <w:rPr>
          <w:sz w:val="22"/>
          <w:szCs w:val="22"/>
        </w:rPr>
        <w:t xml:space="preserve"> Chen, Z. (2005)</w:t>
      </w:r>
      <w:r w:rsidRPr="00046686">
        <w:rPr>
          <w:sz w:val="22"/>
          <w:szCs w:val="22"/>
        </w:rPr>
        <w:t xml:space="preserve"> </w:t>
      </w:r>
      <w:r w:rsidR="00160E11">
        <w:rPr>
          <w:sz w:val="22"/>
          <w:szCs w:val="22"/>
        </w:rPr>
        <w:t>‘</w:t>
      </w:r>
      <w:r w:rsidRPr="00046686">
        <w:rPr>
          <w:sz w:val="22"/>
          <w:szCs w:val="22"/>
        </w:rPr>
        <w:t>Acceptance of Internet-based learning medium: The role of ext</w:t>
      </w:r>
      <w:r w:rsidR="00160E11">
        <w:rPr>
          <w:sz w:val="22"/>
          <w:szCs w:val="22"/>
        </w:rPr>
        <w:t>rinsic and intrinsic motivation,’</w:t>
      </w:r>
      <w:r w:rsidRPr="00046686">
        <w:rPr>
          <w:sz w:val="22"/>
          <w:szCs w:val="22"/>
        </w:rPr>
        <w:t xml:space="preserve"> </w:t>
      </w:r>
      <w:r w:rsidRPr="00046686">
        <w:rPr>
          <w:i/>
          <w:iCs/>
          <w:sz w:val="22"/>
          <w:szCs w:val="22"/>
        </w:rPr>
        <w:t xml:space="preserve">Information </w:t>
      </w:r>
      <w:r w:rsidR="00646D41">
        <w:rPr>
          <w:i/>
          <w:iCs/>
          <w:sz w:val="22"/>
          <w:szCs w:val="22"/>
        </w:rPr>
        <w:t>and</w:t>
      </w:r>
      <w:r w:rsidRPr="00046686">
        <w:rPr>
          <w:i/>
          <w:iCs/>
          <w:sz w:val="22"/>
          <w:szCs w:val="22"/>
        </w:rPr>
        <w:t xml:space="preserve"> Management, 42</w:t>
      </w:r>
      <w:r w:rsidRPr="00046686">
        <w:rPr>
          <w:sz w:val="22"/>
          <w:szCs w:val="22"/>
        </w:rPr>
        <w:t xml:space="preserve">, 1095–1104. </w:t>
      </w:r>
      <w:hyperlink r:id="rId19" w:tgtFrame="_blank" w:history="1">
        <w:r w:rsidRPr="00046686">
          <w:rPr>
            <w:sz w:val="22"/>
            <w:szCs w:val="22"/>
          </w:rPr>
          <w:t>http://dx.doi.org/10.1016/j.im.2003.10.007</w:t>
        </w:r>
      </w:hyperlink>
    </w:p>
    <w:p w:rsidR="00046686" w:rsidRPr="00046686" w:rsidRDefault="00046686" w:rsidP="002252A5">
      <w:pPr>
        <w:autoSpaceDE w:val="0"/>
        <w:autoSpaceDN w:val="0"/>
        <w:spacing w:after="80" w:line="240" w:lineRule="exact"/>
        <w:ind w:left="440" w:hangingChars="200" w:hanging="440"/>
        <w:rPr>
          <w:sz w:val="22"/>
          <w:szCs w:val="22"/>
        </w:rPr>
      </w:pPr>
      <w:proofErr w:type="spellStart"/>
      <w:r w:rsidRPr="00046686">
        <w:rPr>
          <w:sz w:val="22"/>
          <w:szCs w:val="22"/>
        </w:rPr>
        <w:t>Legris</w:t>
      </w:r>
      <w:proofErr w:type="spellEnd"/>
      <w:r w:rsidRPr="00046686">
        <w:rPr>
          <w:sz w:val="22"/>
          <w:szCs w:val="22"/>
        </w:rPr>
        <w:t xml:space="preserve">, P., Ingham, J., </w:t>
      </w:r>
      <w:r w:rsidR="00646D41">
        <w:rPr>
          <w:sz w:val="22"/>
          <w:szCs w:val="22"/>
        </w:rPr>
        <w:t>and</w:t>
      </w:r>
      <w:r w:rsidRPr="00046686">
        <w:rPr>
          <w:sz w:val="22"/>
          <w:szCs w:val="22"/>
        </w:rPr>
        <w:t xml:space="preserve"> </w:t>
      </w:r>
      <w:proofErr w:type="spellStart"/>
      <w:r w:rsidRPr="00046686">
        <w:rPr>
          <w:sz w:val="22"/>
          <w:szCs w:val="22"/>
        </w:rPr>
        <w:t>Coll</w:t>
      </w:r>
      <w:r w:rsidR="00160E11">
        <w:rPr>
          <w:sz w:val="22"/>
          <w:szCs w:val="22"/>
        </w:rPr>
        <w:t>erette</w:t>
      </w:r>
      <w:proofErr w:type="spellEnd"/>
      <w:r w:rsidR="00160E11">
        <w:rPr>
          <w:sz w:val="22"/>
          <w:szCs w:val="22"/>
        </w:rPr>
        <w:t>, P. (2003)</w:t>
      </w:r>
      <w:r w:rsidRPr="00046686">
        <w:rPr>
          <w:sz w:val="22"/>
          <w:szCs w:val="22"/>
        </w:rPr>
        <w:t xml:space="preserve"> </w:t>
      </w:r>
      <w:r w:rsidR="00160E11">
        <w:rPr>
          <w:sz w:val="22"/>
          <w:szCs w:val="22"/>
        </w:rPr>
        <w:t>‘</w:t>
      </w:r>
      <w:r w:rsidRPr="00046686">
        <w:rPr>
          <w:sz w:val="22"/>
          <w:szCs w:val="22"/>
        </w:rPr>
        <w:t>Why do people use information technology? A critical review of the technology acceptance model</w:t>
      </w:r>
      <w:r w:rsidR="00160E11">
        <w:rPr>
          <w:sz w:val="22"/>
          <w:szCs w:val="22"/>
        </w:rPr>
        <w:t>,’</w:t>
      </w:r>
      <w:r w:rsidRPr="00046686">
        <w:rPr>
          <w:i/>
          <w:iCs/>
          <w:sz w:val="22"/>
          <w:szCs w:val="22"/>
        </w:rPr>
        <w:t xml:space="preserve"> Information </w:t>
      </w:r>
      <w:r w:rsidR="00646D41">
        <w:rPr>
          <w:i/>
          <w:iCs/>
          <w:sz w:val="22"/>
          <w:szCs w:val="22"/>
        </w:rPr>
        <w:t>and</w:t>
      </w:r>
      <w:r w:rsidRPr="00046686">
        <w:rPr>
          <w:i/>
          <w:iCs/>
          <w:sz w:val="22"/>
          <w:szCs w:val="22"/>
        </w:rPr>
        <w:t xml:space="preserve"> Management, 40</w:t>
      </w:r>
      <w:r w:rsidRPr="00046686">
        <w:rPr>
          <w:sz w:val="22"/>
          <w:szCs w:val="22"/>
        </w:rPr>
        <w:t xml:space="preserve">, 191–204. </w:t>
      </w:r>
      <w:hyperlink r:id="rId20" w:tgtFrame="_blank" w:history="1">
        <w:r w:rsidRPr="00046686">
          <w:rPr>
            <w:sz w:val="22"/>
            <w:szCs w:val="22"/>
          </w:rPr>
          <w:t>http://dx.doi.org/10.1016/S0378-7206(01)00143-4</w:t>
        </w:r>
      </w:hyperlink>
    </w:p>
    <w:p w:rsidR="00046686" w:rsidRPr="00046686" w:rsidRDefault="00046686" w:rsidP="00CD51A2">
      <w:pPr>
        <w:autoSpaceDE w:val="0"/>
        <w:autoSpaceDN w:val="0"/>
        <w:spacing w:after="80" w:line="240" w:lineRule="exact"/>
        <w:ind w:left="440" w:hangingChars="200" w:hanging="440"/>
        <w:rPr>
          <w:sz w:val="22"/>
          <w:szCs w:val="22"/>
        </w:rPr>
      </w:pPr>
      <w:r w:rsidRPr="00046686">
        <w:rPr>
          <w:sz w:val="22"/>
          <w:szCs w:val="22"/>
        </w:rPr>
        <w:t xml:space="preserve">Lin, Y., </w:t>
      </w:r>
      <w:proofErr w:type="spellStart"/>
      <w:r w:rsidRPr="00046686">
        <w:rPr>
          <w:sz w:val="22"/>
          <w:szCs w:val="22"/>
        </w:rPr>
        <w:t>Chlamtac</w:t>
      </w:r>
      <w:proofErr w:type="spellEnd"/>
      <w:r w:rsidRPr="00046686">
        <w:rPr>
          <w:sz w:val="22"/>
          <w:szCs w:val="22"/>
        </w:rPr>
        <w:t xml:space="preserve">, I., </w:t>
      </w:r>
      <w:r w:rsidR="00646D41">
        <w:rPr>
          <w:sz w:val="22"/>
          <w:szCs w:val="22"/>
        </w:rPr>
        <w:t>and</w:t>
      </w:r>
      <w:r w:rsidR="00160E11">
        <w:rPr>
          <w:sz w:val="22"/>
          <w:szCs w:val="22"/>
        </w:rPr>
        <w:t xml:space="preserve"> Yu, H., (2003)</w:t>
      </w:r>
      <w:r w:rsidRPr="00046686">
        <w:rPr>
          <w:sz w:val="22"/>
          <w:szCs w:val="22"/>
        </w:rPr>
        <w:t xml:space="preserve"> </w:t>
      </w:r>
      <w:r w:rsidR="00160E11">
        <w:rPr>
          <w:sz w:val="22"/>
          <w:szCs w:val="22"/>
        </w:rPr>
        <w:t>‘</w:t>
      </w:r>
      <w:r w:rsidRPr="00046686">
        <w:rPr>
          <w:sz w:val="22"/>
          <w:szCs w:val="22"/>
        </w:rPr>
        <w:t>Mobile number portability</w:t>
      </w:r>
      <w:r w:rsidR="00160E11">
        <w:rPr>
          <w:sz w:val="22"/>
          <w:szCs w:val="22"/>
        </w:rPr>
        <w:t>,’</w:t>
      </w:r>
      <w:r w:rsidRPr="00046686">
        <w:rPr>
          <w:sz w:val="22"/>
          <w:szCs w:val="22"/>
        </w:rPr>
        <w:t xml:space="preserve"> </w:t>
      </w:r>
      <w:r w:rsidRPr="00046686">
        <w:rPr>
          <w:i/>
          <w:sz w:val="22"/>
          <w:szCs w:val="22"/>
        </w:rPr>
        <w:t>IEEE Network</w:t>
      </w:r>
      <w:r w:rsidRPr="00046686">
        <w:rPr>
          <w:sz w:val="22"/>
          <w:szCs w:val="22"/>
        </w:rPr>
        <w:t xml:space="preserve">, </w:t>
      </w:r>
      <w:r w:rsidRPr="00046686">
        <w:rPr>
          <w:i/>
          <w:sz w:val="22"/>
          <w:szCs w:val="22"/>
        </w:rPr>
        <w:t xml:space="preserve">17, </w:t>
      </w:r>
      <w:r w:rsidRPr="00046686">
        <w:rPr>
          <w:sz w:val="22"/>
          <w:szCs w:val="22"/>
        </w:rPr>
        <w:t>8</w:t>
      </w:r>
      <w:r w:rsidRPr="00046686">
        <w:rPr>
          <w:rFonts w:eastAsia="Calibri"/>
          <w:sz w:val="22"/>
          <w:szCs w:val="22"/>
        </w:rPr>
        <w:t>–</w:t>
      </w:r>
      <w:r w:rsidRPr="00046686">
        <w:rPr>
          <w:sz w:val="22"/>
          <w:szCs w:val="22"/>
        </w:rPr>
        <w:t xml:space="preserve">16. </w:t>
      </w:r>
      <w:hyperlink r:id="rId21" w:tgtFrame="_blank" w:history="1">
        <w:r w:rsidRPr="00046686">
          <w:rPr>
            <w:sz w:val="22"/>
            <w:szCs w:val="22"/>
          </w:rPr>
          <w:t>http://dx.doi.org/10.1109/MNET.2003.1233913</w:t>
        </w:r>
      </w:hyperlink>
    </w:p>
    <w:p w:rsidR="00046686" w:rsidRPr="00046686" w:rsidRDefault="00046686" w:rsidP="00CD51A2">
      <w:pPr>
        <w:autoSpaceDE w:val="0"/>
        <w:autoSpaceDN w:val="0"/>
        <w:spacing w:after="80" w:line="240" w:lineRule="exact"/>
        <w:ind w:left="440" w:hangingChars="200" w:hanging="440"/>
        <w:rPr>
          <w:sz w:val="22"/>
          <w:szCs w:val="22"/>
        </w:rPr>
      </w:pPr>
      <w:proofErr w:type="spellStart"/>
      <w:r w:rsidRPr="00046686">
        <w:rPr>
          <w:sz w:val="22"/>
          <w:szCs w:val="22"/>
        </w:rPr>
        <w:t>Maicas</w:t>
      </w:r>
      <w:proofErr w:type="spellEnd"/>
      <w:r w:rsidRPr="00046686">
        <w:rPr>
          <w:sz w:val="22"/>
          <w:szCs w:val="22"/>
        </w:rPr>
        <w:t xml:space="preserve">, J. P., Polo, Y., </w:t>
      </w:r>
      <w:r w:rsidR="00646D41">
        <w:rPr>
          <w:sz w:val="22"/>
          <w:szCs w:val="22"/>
        </w:rPr>
        <w:t>and</w:t>
      </w:r>
      <w:r w:rsidRPr="00046686">
        <w:rPr>
          <w:sz w:val="22"/>
          <w:szCs w:val="22"/>
        </w:rPr>
        <w:t xml:space="preserve"> Javier </w:t>
      </w:r>
      <w:proofErr w:type="spellStart"/>
      <w:r w:rsidRPr="00046686">
        <w:rPr>
          <w:sz w:val="22"/>
          <w:szCs w:val="22"/>
        </w:rPr>
        <w:t>Sese</w:t>
      </w:r>
      <w:proofErr w:type="spellEnd"/>
      <w:r w:rsidRPr="00046686">
        <w:rPr>
          <w:sz w:val="22"/>
          <w:szCs w:val="22"/>
        </w:rPr>
        <w:t xml:space="preserve">, F. (2009) </w:t>
      </w:r>
      <w:r w:rsidR="00160E11">
        <w:rPr>
          <w:sz w:val="22"/>
          <w:szCs w:val="22"/>
        </w:rPr>
        <w:t>‘</w:t>
      </w:r>
      <w:r w:rsidRPr="00046686">
        <w:rPr>
          <w:sz w:val="22"/>
          <w:szCs w:val="22"/>
        </w:rPr>
        <w:t>Reducing the level of switching costs in mobile communications: The ca</w:t>
      </w:r>
      <w:r w:rsidR="00160E11">
        <w:rPr>
          <w:sz w:val="22"/>
          <w:szCs w:val="22"/>
        </w:rPr>
        <w:t>se of Mobile Number Portability,’</w:t>
      </w:r>
      <w:r w:rsidRPr="00160E11">
        <w:rPr>
          <w:i/>
          <w:sz w:val="22"/>
          <w:szCs w:val="22"/>
        </w:rPr>
        <w:t xml:space="preserve"> Telecommunications Policy,</w:t>
      </w:r>
      <w:r w:rsidRPr="00046686">
        <w:rPr>
          <w:sz w:val="22"/>
          <w:szCs w:val="22"/>
        </w:rPr>
        <w:t xml:space="preserve"> 33(9), 544-554.</w:t>
      </w:r>
    </w:p>
    <w:p w:rsidR="00046686" w:rsidRPr="00046686" w:rsidRDefault="00046686" w:rsidP="002252A5">
      <w:pPr>
        <w:spacing w:after="80" w:line="240" w:lineRule="exact"/>
        <w:ind w:left="440" w:hangingChars="200" w:hanging="440"/>
        <w:rPr>
          <w:sz w:val="22"/>
          <w:szCs w:val="22"/>
        </w:rPr>
      </w:pPr>
      <w:r w:rsidRPr="00046686">
        <w:rPr>
          <w:sz w:val="22"/>
          <w:szCs w:val="22"/>
        </w:rPr>
        <w:t xml:space="preserve">National Communication Authority. (2012) </w:t>
      </w:r>
      <w:r w:rsidR="00160E11">
        <w:rPr>
          <w:sz w:val="22"/>
          <w:szCs w:val="22"/>
        </w:rPr>
        <w:t>‘</w:t>
      </w:r>
      <w:r w:rsidRPr="00046686">
        <w:rPr>
          <w:sz w:val="22"/>
          <w:szCs w:val="22"/>
        </w:rPr>
        <w:t>Mobile Number Portability in Ghana</w:t>
      </w:r>
      <w:r w:rsidR="00160E11">
        <w:rPr>
          <w:sz w:val="22"/>
          <w:szCs w:val="22"/>
        </w:rPr>
        <w:t>,’</w:t>
      </w:r>
      <w:r w:rsidRPr="00046686">
        <w:rPr>
          <w:sz w:val="22"/>
          <w:szCs w:val="22"/>
        </w:rPr>
        <w:t>—First Year Report—July 18, 2012. Retrieved from http://nca.org.gh/downloads/MNP_at_2Years_Report_3rd_September_2013.pdf</w:t>
      </w:r>
    </w:p>
    <w:p w:rsidR="00046686" w:rsidRPr="00046686" w:rsidRDefault="00046686" w:rsidP="002252A5">
      <w:pPr>
        <w:spacing w:after="80" w:line="240" w:lineRule="exact"/>
        <w:ind w:left="440" w:hangingChars="200" w:hanging="440"/>
        <w:rPr>
          <w:sz w:val="22"/>
          <w:szCs w:val="22"/>
        </w:rPr>
      </w:pPr>
      <w:r w:rsidRPr="00046686">
        <w:rPr>
          <w:sz w:val="22"/>
          <w:szCs w:val="22"/>
        </w:rPr>
        <w:t xml:space="preserve">National Communication Authority. (2013) </w:t>
      </w:r>
      <w:r w:rsidR="00160E11">
        <w:rPr>
          <w:sz w:val="22"/>
          <w:szCs w:val="22"/>
        </w:rPr>
        <w:t>‘</w:t>
      </w:r>
      <w:r w:rsidRPr="00046686">
        <w:rPr>
          <w:sz w:val="22"/>
          <w:szCs w:val="22"/>
        </w:rPr>
        <w:t>Mobile Number Portability in Ghana</w:t>
      </w:r>
      <w:r w:rsidR="00160E11">
        <w:rPr>
          <w:sz w:val="22"/>
          <w:szCs w:val="22"/>
        </w:rPr>
        <w:t>,’</w:t>
      </w:r>
      <w:r w:rsidRPr="00046686">
        <w:rPr>
          <w:sz w:val="22"/>
          <w:szCs w:val="22"/>
        </w:rPr>
        <w:t xml:space="preserve">—Second Year Report—July31, 2013. Retrieved from </w:t>
      </w:r>
      <w:hyperlink r:id="rId22" w:history="1">
        <w:r w:rsidRPr="00046686">
          <w:rPr>
            <w:sz w:val="22"/>
            <w:szCs w:val="22"/>
          </w:rPr>
          <w:t>http://nca.org.gh/downloads/MNP_at_2Years_Report_3rd_September_2013.pdf</w:t>
        </w:r>
      </w:hyperlink>
      <w:r w:rsidRPr="00046686">
        <w:rPr>
          <w:sz w:val="22"/>
          <w:szCs w:val="22"/>
        </w:rPr>
        <w:t>.</w:t>
      </w:r>
    </w:p>
    <w:p w:rsidR="00046686" w:rsidRPr="00046686" w:rsidRDefault="00046686" w:rsidP="00CD51A2">
      <w:pPr>
        <w:spacing w:after="80" w:line="240" w:lineRule="exact"/>
        <w:ind w:left="440" w:hangingChars="200" w:hanging="440"/>
        <w:rPr>
          <w:sz w:val="22"/>
          <w:szCs w:val="22"/>
        </w:rPr>
      </w:pPr>
      <w:r w:rsidRPr="00046686">
        <w:rPr>
          <w:sz w:val="22"/>
          <w:szCs w:val="22"/>
        </w:rPr>
        <w:t xml:space="preserve">Nimako, S. G., </w:t>
      </w:r>
      <w:proofErr w:type="spellStart"/>
      <w:r w:rsidRPr="00046686">
        <w:rPr>
          <w:sz w:val="22"/>
          <w:szCs w:val="22"/>
        </w:rPr>
        <w:t>Ntim</w:t>
      </w:r>
      <w:proofErr w:type="spellEnd"/>
      <w:r w:rsidRPr="00046686">
        <w:rPr>
          <w:sz w:val="22"/>
          <w:szCs w:val="22"/>
        </w:rPr>
        <w:t xml:space="preserve"> B. A, </w:t>
      </w:r>
      <w:r w:rsidR="00646D41">
        <w:rPr>
          <w:sz w:val="22"/>
          <w:szCs w:val="22"/>
        </w:rPr>
        <w:t>and</w:t>
      </w:r>
      <w:r w:rsidR="00160E11">
        <w:rPr>
          <w:sz w:val="22"/>
          <w:szCs w:val="22"/>
        </w:rPr>
        <w:t xml:space="preserve"> Mensah A. F. (2014)</w:t>
      </w:r>
      <w:r w:rsidRPr="00046686">
        <w:rPr>
          <w:sz w:val="22"/>
          <w:szCs w:val="22"/>
        </w:rPr>
        <w:t xml:space="preserve"> </w:t>
      </w:r>
      <w:r w:rsidR="00160E11">
        <w:rPr>
          <w:sz w:val="22"/>
          <w:szCs w:val="22"/>
        </w:rPr>
        <w:t>‘</w:t>
      </w:r>
      <w:r w:rsidRPr="00046686">
        <w:rPr>
          <w:sz w:val="22"/>
          <w:szCs w:val="22"/>
        </w:rPr>
        <w:t xml:space="preserve">Effect of Mobile Number Portability Adoption </w:t>
      </w:r>
      <w:r w:rsidR="00160E11">
        <w:rPr>
          <w:sz w:val="22"/>
          <w:szCs w:val="22"/>
        </w:rPr>
        <w:t>on Consumer Switching Intention,’</w:t>
      </w:r>
      <w:r w:rsidRPr="00046686">
        <w:rPr>
          <w:sz w:val="22"/>
          <w:szCs w:val="22"/>
        </w:rPr>
        <w:t xml:space="preserve"> </w:t>
      </w:r>
      <w:r w:rsidRPr="00046686">
        <w:rPr>
          <w:i/>
          <w:color w:val="000000"/>
          <w:sz w:val="22"/>
          <w:szCs w:val="22"/>
          <w:lang w:val="en-GB" w:eastAsia="en-GB"/>
        </w:rPr>
        <w:t>International Journal of Marketing Studies,</w:t>
      </w:r>
      <w:r w:rsidRPr="00046686">
        <w:rPr>
          <w:color w:val="000000"/>
          <w:sz w:val="22"/>
          <w:szCs w:val="22"/>
          <w:lang w:val="en-GB" w:eastAsia="en-GB"/>
        </w:rPr>
        <w:t xml:space="preserve"> 6 (2), 117-134.</w:t>
      </w:r>
      <w:r w:rsidRPr="00046686">
        <w:rPr>
          <w:sz w:val="22"/>
          <w:szCs w:val="22"/>
        </w:rPr>
        <w:t xml:space="preserve"> </w:t>
      </w:r>
      <w:r w:rsidRPr="00046686">
        <w:rPr>
          <w:color w:val="000000"/>
          <w:sz w:val="22"/>
          <w:szCs w:val="22"/>
          <w:lang w:val="en-GB" w:eastAsia="en-GB"/>
        </w:rPr>
        <w:t xml:space="preserve">doi:10.5539/ijms.v6n2p117  </w:t>
      </w:r>
    </w:p>
    <w:p w:rsidR="00D33DB0" w:rsidRDefault="00046686" w:rsidP="00187415">
      <w:pPr>
        <w:pStyle w:val="NoSpacing"/>
        <w:jc w:val="both"/>
        <w:rPr>
          <w:rFonts w:ascii="Times New Roman" w:hAnsi="Times New Roman" w:cs="Times New Roman"/>
        </w:rPr>
      </w:pPr>
      <w:proofErr w:type="spellStart"/>
      <w:r w:rsidRPr="00046686">
        <w:rPr>
          <w:rFonts w:ascii="Times New Roman" w:hAnsi="Times New Roman" w:cs="Times New Roman"/>
        </w:rPr>
        <w:t>Odunaike</w:t>
      </w:r>
      <w:proofErr w:type="spellEnd"/>
      <w:r w:rsidRPr="00046686">
        <w:rPr>
          <w:rFonts w:ascii="Times New Roman" w:hAnsi="Times New Roman" w:cs="Times New Roman"/>
        </w:rPr>
        <w:t xml:space="preserve">, S. A. (2010) </w:t>
      </w:r>
      <w:r w:rsidR="00160E11">
        <w:rPr>
          <w:rFonts w:ascii="Times New Roman" w:hAnsi="Times New Roman" w:cs="Times New Roman"/>
        </w:rPr>
        <w:t>‘</w:t>
      </w:r>
      <w:r w:rsidRPr="00046686">
        <w:rPr>
          <w:rFonts w:ascii="Times New Roman" w:hAnsi="Times New Roman" w:cs="Times New Roman"/>
        </w:rPr>
        <w:t>The Impact of Mobile Number Portability on TUT students On-line</w:t>
      </w:r>
      <w:r w:rsidRPr="00046686">
        <w:rPr>
          <w:rFonts w:ascii="Times New Roman" w:hAnsi="Times New Roman" w:cs="Times New Roman"/>
        </w:rPr>
        <w:tab/>
        <w:t>Co</w:t>
      </w:r>
      <w:r w:rsidR="005927D0">
        <w:rPr>
          <w:rFonts w:ascii="Times New Roman" w:hAnsi="Times New Roman" w:cs="Times New Roman"/>
        </w:rPr>
        <w:t xml:space="preserve">nnectivity. </w:t>
      </w:r>
      <w:r w:rsidR="00D33DB0">
        <w:rPr>
          <w:rFonts w:ascii="Times New Roman" w:hAnsi="Times New Roman" w:cs="Times New Roman"/>
        </w:rPr>
        <w:t xml:space="preserve">ISECON Proceedings, </w:t>
      </w:r>
      <w:r w:rsidR="00160E11">
        <w:rPr>
          <w:rFonts w:ascii="Times New Roman" w:hAnsi="Times New Roman" w:cs="Times New Roman"/>
        </w:rPr>
        <w:t xml:space="preserve">v27, </w:t>
      </w:r>
      <w:r w:rsidRPr="00046686">
        <w:rPr>
          <w:rFonts w:ascii="Times New Roman" w:hAnsi="Times New Roman" w:cs="Times New Roman"/>
        </w:rPr>
        <w:t>13</w:t>
      </w:r>
      <w:r w:rsidR="00160E11">
        <w:rPr>
          <w:rFonts w:ascii="Times New Roman" w:hAnsi="Times New Roman" w:cs="Times New Roman"/>
        </w:rPr>
        <w:t>-48</w:t>
      </w:r>
      <w:r w:rsidRPr="00046686">
        <w:rPr>
          <w:rFonts w:ascii="Times New Roman" w:hAnsi="Times New Roman" w:cs="Times New Roman"/>
        </w:rPr>
        <w:t>.</w:t>
      </w:r>
    </w:p>
    <w:p w:rsidR="00D33DB0" w:rsidRDefault="00D33DB0" w:rsidP="00D33DB0">
      <w:pPr>
        <w:autoSpaceDE w:val="0"/>
        <w:autoSpaceDN w:val="0"/>
        <w:spacing w:after="80" w:line="240" w:lineRule="exact"/>
        <w:ind w:left="440" w:hangingChars="200" w:hanging="440"/>
        <w:rPr>
          <w:sz w:val="22"/>
          <w:szCs w:val="22"/>
        </w:rPr>
      </w:pPr>
      <w:proofErr w:type="spellStart"/>
      <w:r w:rsidRPr="00046686">
        <w:rPr>
          <w:sz w:val="22"/>
          <w:szCs w:val="22"/>
        </w:rPr>
        <w:t>Oftel</w:t>
      </w:r>
      <w:proofErr w:type="spellEnd"/>
      <w:r w:rsidRPr="00046686">
        <w:rPr>
          <w:sz w:val="22"/>
          <w:szCs w:val="22"/>
        </w:rPr>
        <w:t xml:space="preserve">. (1997) </w:t>
      </w:r>
      <w:r w:rsidR="00160E11">
        <w:rPr>
          <w:sz w:val="22"/>
          <w:szCs w:val="22"/>
        </w:rPr>
        <w:t>‘</w:t>
      </w:r>
      <w:r w:rsidRPr="00046686">
        <w:rPr>
          <w:i/>
          <w:sz w:val="22"/>
          <w:szCs w:val="22"/>
        </w:rPr>
        <w:t>Economic Evaluation of Number Portability in the UK Mobile Telephony Market,</w:t>
      </w:r>
      <w:r w:rsidR="00160E11">
        <w:rPr>
          <w:i/>
          <w:sz w:val="22"/>
          <w:szCs w:val="22"/>
        </w:rPr>
        <w:t>’</w:t>
      </w:r>
      <w:r w:rsidRPr="00046686">
        <w:rPr>
          <w:i/>
          <w:sz w:val="22"/>
          <w:szCs w:val="22"/>
        </w:rPr>
        <w:t xml:space="preserve"> </w:t>
      </w:r>
      <w:proofErr w:type="spellStart"/>
      <w:r w:rsidRPr="00046686">
        <w:rPr>
          <w:i/>
          <w:sz w:val="22"/>
          <w:szCs w:val="22"/>
        </w:rPr>
        <w:t>Oftel</w:t>
      </w:r>
      <w:proofErr w:type="spellEnd"/>
      <w:r w:rsidRPr="00046686">
        <w:rPr>
          <w:sz w:val="22"/>
          <w:szCs w:val="22"/>
        </w:rPr>
        <w:t>. London, July 1997.</w:t>
      </w:r>
    </w:p>
    <w:p w:rsidR="00D33DB0" w:rsidRPr="00046686" w:rsidRDefault="00D33DB0" w:rsidP="00D33DB0">
      <w:pPr>
        <w:autoSpaceDE w:val="0"/>
        <w:autoSpaceDN w:val="0"/>
        <w:spacing w:after="80" w:line="240" w:lineRule="exact"/>
        <w:ind w:left="440" w:hangingChars="200" w:hanging="440"/>
        <w:rPr>
          <w:sz w:val="22"/>
          <w:szCs w:val="22"/>
        </w:rPr>
      </w:pPr>
      <w:proofErr w:type="spellStart"/>
      <w:r w:rsidRPr="00CA24AC">
        <w:rPr>
          <w:sz w:val="22"/>
          <w:szCs w:val="22"/>
        </w:rPr>
        <w:t>Ooko</w:t>
      </w:r>
      <w:proofErr w:type="spellEnd"/>
      <w:r w:rsidRPr="00CA24AC">
        <w:rPr>
          <w:sz w:val="22"/>
          <w:szCs w:val="22"/>
        </w:rPr>
        <w:t xml:space="preserve">, D., </w:t>
      </w:r>
      <w:proofErr w:type="spellStart"/>
      <w:r w:rsidRPr="00CA24AC">
        <w:rPr>
          <w:sz w:val="22"/>
          <w:szCs w:val="22"/>
        </w:rPr>
        <w:t>Nzomoi</w:t>
      </w:r>
      <w:proofErr w:type="spellEnd"/>
      <w:r w:rsidRPr="00CA24AC">
        <w:rPr>
          <w:sz w:val="22"/>
          <w:szCs w:val="22"/>
        </w:rPr>
        <w:t xml:space="preserve">, J., </w:t>
      </w:r>
      <w:r w:rsidR="00646D41">
        <w:rPr>
          <w:sz w:val="22"/>
          <w:szCs w:val="22"/>
        </w:rPr>
        <w:t>and</w:t>
      </w:r>
      <w:r w:rsidR="00160E11">
        <w:rPr>
          <w:sz w:val="22"/>
          <w:szCs w:val="22"/>
        </w:rPr>
        <w:t xml:space="preserve"> </w:t>
      </w:r>
      <w:proofErr w:type="spellStart"/>
      <w:r w:rsidR="00160E11">
        <w:rPr>
          <w:sz w:val="22"/>
          <w:szCs w:val="22"/>
        </w:rPr>
        <w:t>Mumo</w:t>
      </w:r>
      <w:proofErr w:type="spellEnd"/>
      <w:r w:rsidR="00160E11">
        <w:rPr>
          <w:sz w:val="22"/>
          <w:szCs w:val="22"/>
        </w:rPr>
        <w:t>, R. (2014)</w:t>
      </w:r>
      <w:r w:rsidRPr="00CA24AC">
        <w:rPr>
          <w:sz w:val="22"/>
          <w:szCs w:val="22"/>
        </w:rPr>
        <w:t xml:space="preserve"> </w:t>
      </w:r>
      <w:r w:rsidR="00160E11">
        <w:rPr>
          <w:sz w:val="22"/>
          <w:szCs w:val="22"/>
        </w:rPr>
        <w:t>‘</w:t>
      </w:r>
      <w:r w:rsidRPr="00CA24AC">
        <w:rPr>
          <w:sz w:val="22"/>
          <w:szCs w:val="22"/>
        </w:rPr>
        <w:t>Determinants of Consumer Switching Behavior in Mob</w:t>
      </w:r>
      <w:r w:rsidR="00160E11">
        <w:rPr>
          <w:sz w:val="22"/>
          <w:szCs w:val="22"/>
        </w:rPr>
        <w:t>ile Telephony Industry in Kenya,’</w:t>
      </w:r>
      <w:r w:rsidRPr="00CA24AC">
        <w:rPr>
          <w:sz w:val="22"/>
          <w:szCs w:val="22"/>
        </w:rPr>
        <w:t xml:space="preserve"> </w:t>
      </w:r>
      <w:r w:rsidRPr="00CA24AC">
        <w:rPr>
          <w:i/>
          <w:sz w:val="22"/>
          <w:szCs w:val="22"/>
        </w:rPr>
        <w:t xml:space="preserve">International Journal of Business </w:t>
      </w:r>
      <w:r w:rsidR="00646D41">
        <w:rPr>
          <w:i/>
          <w:sz w:val="22"/>
          <w:szCs w:val="22"/>
        </w:rPr>
        <w:t>and</w:t>
      </w:r>
      <w:r w:rsidRPr="00CA24AC">
        <w:rPr>
          <w:i/>
          <w:sz w:val="22"/>
          <w:szCs w:val="22"/>
        </w:rPr>
        <w:t xml:space="preserve"> Commerce</w:t>
      </w:r>
      <w:r>
        <w:rPr>
          <w:sz w:val="22"/>
          <w:szCs w:val="22"/>
        </w:rPr>
        <w:t>, 3(5), 82-98.</w:t>
      </w:r>
    </w:p>
    <w:p w:rsidR="00D33DB0" w:rsidRPr="00046686" w:rsidRDefault="00D33DB0" w:rsidP="00D33DB0">
      <w:pPr>
        <w:autoSpaceDE w:val="0"/>
        <w:autoSpaceDN w:val="0"/>
        <w:spacing w:after="80" w:line="240" w:lineRule="exact"/>
        <w:ind w:left="440" w:hangingChars="200" w:hanging="440"/>
        <w:rPr>
          <w:sz w:val="22"/>
          <w:szCs w:val="22"/>
        </w:rPr>
      </w:pPr>
      <w:r w:rsidRPr="00046686">
        <w:rPr>
          <w:sz w:val="22"/>
          <w:szCs w:val="22"/>
        </w:rPr>
        <w:t>O</w:t>
      </w:r>
      <w:r w:rsidR="00160E11">
        <w:rPr>
          <w:sz w:val="22"/>
          <w:szCs w:val="22"/>
        </w:rPr>
        <w:t>vum. (2000)</w:t>
      </w:r>
      <w:r w:rsidRPr="00046686">
        <w:rPr>
          <w:sz w:val="22"/>
          <w:szCs w:val="22"/>
        </w:rPr>
        <w:t xml:space="preserve"> </w:t>
      </w:r>
      <w:r w:rsidR="00160E11">
        <w:rPr>
          <w:sz w:val="22"/>
          <w:szCs w:val="22"/>
        </w:rPr>
        <w:t>‘</w:t>
      </w:r>
      <w:r w:rsidRPr="00046686">
        <w:rPr>
          <w:i/>
          <w:sz w:val="22"/>
          <w:szCs w:val="22"/>
        </w:rPr>
        <w:t>Mobile Numbering and Number Portability in Ireland. A Report to the ODTR,</w:t>
      </w:r>
      <w:r w:rsidR="00160E11">
        <w:rPr>
          <w:i/>
          <w:sz w:val="22"/>
          <w:szCs w:val="22"/>
        </w:rPr>
        <w:t>’</w:t>
      </w:r>
      <w:r w:rsidRPr="00046686">
        <w:rPr>
          <w:i/>
          <w:sz w:val="22"/>
          <w:szCs w:val="22"/>
        </w:rPr>
        <w:t xml:space="preserve"> Ovum</w:t>
      </w:r>
      <w:r w:rsidRPr="00046686">
        <w:rPr>
          <w:sz w:val="22"/>
          <w:szCs w:val="22"/>
        </w:rPr>
        <w:t>. London, October 2000.</w:t>
      </w:r>
    </w:p>
    <w:p w:rsidR="00D33DB0" w:rsidRPr="00046686" w:rsidRDefault="00D33DB0" w:rsidP="00D33DB0">
      <w:pPr>
        <w:autoSpaceDE w:val="0"/>
        <w:autoSpaceDN w:val="0"/>
        <w:spacing w:after="80" w:line="240" w:lineRule="exact"/>
        <w:ind w:left="440" w:hangingChars="200" w:hanging="440"/>
        <w:rPr>
          <w:sz w:val="22"/>
          <w:szCs w:val="22"/>
        </w:rPr>
      </w:pPr>
      <w:r w:rsidRPr="00046686">
        <w:rPr>
          <w:sz w:val="22"/>
          <w:szCs w:val="22"/>
        </w:rPr>
        <w:t xml:space="preserve">Park, M., Kim, D., </w:t>
      </w:r>
      <w:r w:rsidR="00646D41">
        <w:rPr>
          <w:sz w:val="22"/>
          <w:szCs w:val="22"/>
        </w:rPr>
        <w:t>and</w:t>
      </w:r>
      <w:r w:rsidR="00160E11">
        <w:rPr>
          <w:sz w:val="22"/>
          <w:szCs w:val="22"/>
        </w:rPr>
        <w:t xml:space="preserve"> Lee, S. (2007)</w:t>
      </w:r>
      <w:r w:rsidRPr="00046686">
        <w:rPr>
          <w:sz w:val="22"/>
          <w:szCs w:val="22"/>
        </w:rPr>
        <w:t xml:space="preserve"> </w:t>
      </w:r>
      <w:r w:rsidR="00160E11">
        <w:rPr>
          <w:sz w:val="22"/>
          <w:szCs w:val="22"/>
        </w:rPr>
        <w:t>‘</w:t>
      </w:r>
      <w:r w:rsidRPr="00046686">
        <w:rPr>
          <w:sz w:val="22"/>
          <w:szCs w:val="22"/>
        </w:rPr>
        <w:t>Demand for number portabili</w:t>
      </w:r>
      <w:r w:rsidR="00160E11">
        <w:rPr>
          <w:sz w:val="22"/>
          <w:szCs w:val="22"/>
        </w:rPr>
        <w:t>ty in the Korean telecom market,’</w:t>
      </w:r>
      <w:r w:rsidRPr="00046686">
        <w:rPr>
          <w:sz w:val="22"/>
          <w:szCs w:val="22"/>
        </w:rPr>
        <w:t xml:space="preserve"> </w:t>
      </w:r>
      <w:r w:rsidRPr="00046686">
        <w:rPr>
          <w:i/>
          <w:sz w:val="22"/>
          <w:szCs w:val="22"/>
        </w:rPr>
        <w:t>Journal of Global Information Management</w:t>
      </w:r>
      <w:r w:rsidRPr="00046686">
        <w:rPr>
          <w:sz w:val="22"/>
          <w:szCs w:val="22"/>
        </w:rPr>
        <w:t>, 15(1), pp. 43-64</w:t>
      </w:r>
      <w:r w:rsidR="00160E11">
        <w:rPr>
          <w:sz w:val="22"/>
          <w:szCs w:val="22"/>
        </w:rPr>
        <w:t>.</w:t>
      </w:r>
    </w:p>
    <w:p w:rsidR="00D33DB0" w:rsidRPr="00046686" w:rsidRDefault="00160E11" w:rsidP="00D33DB0">
      <w:pPr>
        <w:autoSpaceDE w:val="0"/>
        <w:autoSpaceDN w:val="0"/>
        <w:spacing w:after="80" w:line="240" w:lineRule="exact"/>
        <w:ind w:left="440" w:hangingChars="200" w:hanging="440"/>
        <w:rPr>
          <w:sz w:val="22"/>
          <w:szCs w:val="22"/>
        </w:rPr>
      </w:pPr>
      <w:r>
        <w:rPr>
          <w:sz w:val="22"/>
          <w:szCs w:val="22"/>
        </w:rPr>
        <w:lastRenderedPageBreak/>
        <w:t>Park, S. Y. (2009)</w:t>
      </w:r>
      <w:r w:rsidR="00D33DB0" w:rsidRPr="00046686">
        <w:rPr>
          <w:sz w:val="22"/>
          <w:szCs w:val="22"/>
        </w:rPr>
        <w:t xml:space="preserve"> </w:t>
      </w:r>
      <w:r>
        <w:rPr>
          <w:sz w:val="22"/>
          <w:szCs w:val="22"/>
        </w:rPr>
        <w:t>‘</w:t>
      </w:r>
      <w:r w:rsidR="00D33DB0" w:rsidRPr="00046686">
        <w:rPr>
          <w:sz w:val="22"/>
          <w:szCs w:val="22"/>
        </w:rPr>
        <w:t>An Analysis of the Technology Acceptance Model in Understanding University Students’ Behavioral Intention to Use e-Learning</w:t>
      </w:r>
      <w:r>
        <w:rPr>
          <w:sz w:val="22"/>
          <w:szCs w:val="22"/>
        </w:rPr>
        <w:t>,’</w:t>
      </w:r>
      <w:r w:rsidR="00D33DB0" w:rsidRPr="00046686">
        <w:rPr>
          <w:sz w:val="22"/>
          <w:szCs w:val="22"/>
        </w:rPr>
        <w:t xml:space="preserve"> </w:t>
      </w:r>
      <w:r w:rsidR="00D33DB0" w:rsidRPr="00046686">
        <w:rPr>
          <w:i/>
          <w:iCs/>
          <w:sz w:val="22"/>
          <w:szCs w:val="22"/>
        </w:rPr>
        <w:t xml:space="preserve">Educational Technology </w:t>
      </w:r>
      <w:r w:rsidR="00646D41">
        <w:rPr>
          <w:i/>
          <w:iCs/>
          <w:sz w:val="22"/>
          <w:szCs w:val="22"/>
        </w:rPr>
        <w:t>and</w:t>
      </w:r>
      <w:r w:rsidR="00D33DB0" w:rsidRPr="00046686">
        <w:rPr>
          <w:i/>
          <w:iCs/>
          <w:sz w:val="22"/>
          <w:szCs w:val="22"/>
        </w:rPr>
        <w:t xml:space="preserve"> Society</w:t>
      </w:r>
      <w:r w:rsidR="00D33DB0" w:rsidRPr="00046686">
        <w:rPr>
          <w:sz w:val="22"/>
          <w:szCs w:val="22"/>
        </w:rPr>
        <w:t xml:space="preserve">, </w:t>
      </w:r>
      <w:r w:rsidR="00D33DB0" w:rsidRPr="00046686">
        <w:rPr>
          <w:i/>
          <w:iCs/>
          <w:sz w:val="22"/>
          <w:szCs w:val="22"/>
        </w:rPr>
        <w:t>12</w:t>
      </w:r>
      <w:r w:rsidR="00D33DB0" w:rsidRPr="00046686">
        <w:rPr>
          <w:sz w:val="22"/>
          <w:szCs w:val="22"/>
        </w:rPr>
        <w:t xml:space="preserve">(3), 150–162. </w:t>
      </w:r>
    </w:p>
    <w:p w:rsidR="00D33DB0" w:rsidRPr="00046686" w:rsidRDefault="00160E11" w:rsidP="00D33DB0">
      <w:pPr>
        <w:autoSpaceDE w:val="0"/>
        <w:autoSpaceDN w:val="0"/>
        <w:spacing w:after="80" w:line="240" w:lineRule="exact"/>
        <w:ind w:left="440" w:hangingChars="200" w:hanging="440"/>
        <w:rPr>
          <w:sz w:val="22"/>
          <w:szCs w:val="22"/>
        </w:rPr>
      </w:pPr>
      <w:proofErr w:type="spellStart"/>
      <w:r>
        <w:rPr>
          <w:sz w:val="22"/>
          <w:szCs w:val="22"/>
        </w:rPr>
        <w:t>Reinke</w:t>
      </w:r>
      <w:proofErr w:type="spellEnd"/>
      <w:r>
        <w:rPr>
          <w:sz w:val="22"/>
          <w:szCs w:val="22"/>
        </w:rPr>
        <w:t>, T. H. (1998)</w:t>
      </w:r>
      <w:r w:rsidR="00D33DB0" w:rsidRPr="00046686">
        <w:rPr>
          <w:sz w:val="22"/>
          <w:szCs w:val="22"/>
        </w:rPr>
        <w:t xml:space="preserve"> </w:t>
      </w:r>
      <w:r>
        <w:rPr>
          <w:sz w:val="22"/>
          <w:szCs w:val="22"/>
        </w:rPr>
        <w:t>‘</w:t>
      </w:r>
      <w:r w:rsidR="00D33DB0" w:rsidRPr="00046686">
        <w:rPr>
          <w:sz w:val="22"/>
          <w:szCs w:val="22"/>
        </w:rPr>
        <w:t>Local Number portabi</w:t>
      </w:r>
      <w:r>
        <w:rPr>
          <w:sz w:val="22"/>
          <w:szCs w:val="22"/>
        </w:rPr>
        <w:t>lity and local loop competition,’</w:t>
      </w:r>
      <w:r w:rsidR="00D33DB0" w:rsidRPr="00046686">
        <w:rPr>
          <w:sz w:val="22"/>
          <w:szCs w:val="22"/>
        </w:rPr>
        <w:t xml:space="preserve"> </w:t>
      </w:r>
      <w:r w:rsidR="00D33DB0" w:rsidRPr="00046686">
        <w:rPr>
          <w:i/>
          <w:sz w:val="22"/>
          <w:szCs w:val="22"/>
        </w:rPr>
        <w:t>Telecommunications policy,</w:t>
      </w:r>
      <w:r w:rsidR="00D33DB0" w:rsidRPr="00046686">
        <w:rPr>
          <w:sz w:val="22"/>
          <w:szCs w:val="22"/>
        </w:rPr>
        <w:t xml:space="preserve"> </w:t>
      </w:r>
      <w:r w:rsidR="00D33DB0" w:rsidRPr="00046686">
        <w:rPr>
          <w:i/>
          <w:sz w:val="22"/>
          <w:szCs w:val="22"/>
        </w:rPr>
        <w:t>22</w:t>
      </w:r>
      <w:r w:rsidR="00D33DB0" w:rsidRPr="00046686">
        <w:rPr>
          <w:sz w:val="22"/>
          <w:szCs w:val="22"/>
        </w:rPr>
        <w:t>(1), 73</w:t>
      </w:r>
      <w:r w:rsidR="00D33DB0" w:rsidRPr="00046686">
        <w:rPr>
          <w:rFonts w:eastAsia="Calibri"/>
          <w:sz w:val="22"/>
          <w:szCs w:val="22"/>
        </w:rPr>
        <w:t>–</w:t>
      </w:r>
      <w:r w:rsidR="00D33DB0" w:rsidRPr="00046686">
        <w:rPr>
          <w:sz w:val="22"/>
          <w:szCs w:val="22"/>
        </w:rPr>
        <w:t xml:space="preserve">87. </w:t>
      </w:r>
      <w:hyperlink r:id="rId23" w:tgtFrame="_blank" w:history="1">
        <w:r w:rsidR="00D33DB0" w:rsidRPr="00046686">
          <w:rPr>
            <w:sz w:val="22"/>
            <w:szCs w:val="22"/>
          </w:rPr>
          <w:t>http://dx.doi.org/10.1016/S0308-5961(97)00058-X</w:t>
        </w:r>
      </w:hyperlink>
    </w:p>
    <w:p w:rsidR="00D33DB0" w:rsidRPr="00046686" w:rsidRDefault="00D33DB0" w:rsidP="00D33DB0">
      <w:pPr>
        <w:autoSpaceDE w:val="0"/>
        <w:autoSpaceDN w:val="0"/>
        <w:spacing w:after="80" w:line="240" w:lineRule="exact"/>
        <w:ind w:left="440" w:hangingChars="200" w:hanging="440"/>
        <w:rPr>
          <w:sz w:val="22"/>
          <w:szCs w:val="22"/>
        </w:rPr>
      </w:pPr>
      <w:r w:rsidRPr="00046686">
        <w:rPr>
          <w:sz w:val="22"/>
          <w:szCs w:val="22"/>
        </w:rPr>
        <w:t xml:space="preserve">Rogers, E. M. (1962) </w:t>
      </w:r>
      <w:r w:rsidR="00160E11">
        <w:rPr>
          <w:sz w:val="22"/>
          <w:szCs w:val="22"/>
        </w:rPr>
        <w:t>‘</w:t>
      </w:r>
      <w:r w:rsidRPr="00046686">
        <w:rPr>
          <w:i/>
          <w:sz w:val="22"/>
          <w:szCs w:val="22"/>
        </w:rPr>
        <w:t>Diffusion of Innovations</w:t>
      </w:r>
      <w:r w:rsidR="00160E11">
        <w:rPr>
          <w:i/>
          <w:sz w:val="22"/>
          <w:szCs w:val="22"/>
        </w:rPr>
        <w:t>,’</w:t>
      </w:r>
      <w:r w:rsidRPr="00046686">
        <w:rPr>
          <w:sz w:val="22"/>
          <w:szCs w:val="22"/>
        </w:rPr>
        <w:t xml:space="preserve"> New York The Free Press. </w:t>
      </w:r>
    </w:p>
    <w:p w:rsidR="00D33DB0" w:rsidRPr="00046686" w:rsidRDefault="00D33DB0" w:rsidP="00D33DB0">
      <w:pPr>
        <w:autoSpaceDE w:val="0"/>
        <w:autoSpaceDN w:val="0"/>
        <w:spacing w:after="80" w:line="240" w:lineRule="exact"/>
        <w:ind w:left="440" w:hangingChars="200" w:hanging="440"/>
        <w:rPr>
          <w:sz w:val="22"/>
          <w:szCs w:val="22"/>
        </w:rPr>
      </w:pPr>
      <w:r w:rsidRPr="00046686">
        <w:rPr>
          <w:sz w:val="22"/>
          <w:szCs w:val="22"/>
        </w:rPr>
        <w:t xml:space="preserve">Rogers, E. M. (2003). </w:t>
      </w:r>
      <w:r w:rsidR="00160E11">
        <w:rPr>
          <w:sz w:val="22"/>
          <w:szCs w:val="22"/>
        </w:rPr>
        <w:t>‘</w:t>
      </w:r>
      <w:r w:rsidRPr="00046686">
        <w:rPr>
          <w:i/>
          <w:iCs/>
          <w:sz w:val="22"/>
          <w:szCs w:val="22"/>
        </w:rPr>
        <w:t>Diffusion of innovations</w:t>
      </w:r>
      <w:r w:rsidR="00160E11">
        <w:rPr>
          <w:sz w:val="22"/>
          <w:szCs w:val="22"/>
        </w:rPr>
        <w:t xml:space="preserve"> (5th ed.),’</w:t>
      </w:r>
      <w:r w:rsidRPr="00046686">
        <w:rPr>
          <w:sz w:val="22"/>
          <w:szCs w:val="22"/>
        </w:rPr>
        <w:t xml:space="preserve"> New York, NY: Free Press.</w:t>
      </w:r>
    </w:p>
    <w:p w:rsidR="00D33DB0" w:rsidRPr="00046686" w:rsidRDefault="00D33DB0" w:rsidP="00D33DB0">
      <w:pPr>
        <w:autoSpaceDE w:val="0"/>
        <w:autoSpaceDN w:val="0"/>
        <w:spacing w:after="80" w:line="240" w:lineRule="exact"/>
        <w:ind w:left="440" w:hangingChars="200" w:hanging="440"/>
        <w:rPr>
          <w:sz w:val="22"/>
          <w:szCs w:val="22"/>
        </w:rPr>
      </w:pPr>
      <w:proofErr w:type="spellStart"/>
      <w:r w:rsidRPr="00046686">
        <w:rPr>
          <w:sz w:val="22"/>
          <w:szCs w:val="22"/>
        </w:rPr>
        <w:t>Seo</w:t>
      </w:r>
      <w:proofErr w:type="spellEnd"/>
      <w:r w:rsidRPr="00046686">
        <w:rPr>
          <w:sz w:val="22"/>
          <w:szCs w:val="22"/>
        </w:rPr>
        <w:t xml:space="preserve">, D., </w:t>
      </w:r>
      <w:proofErr w:type="spellStart"/>
      <w:r w:rsidRPr="00046686">
        <w:rPr>
          <w:sz w:val="22"/>
          <w:szCs w:val="22"/>
        </w:rPr>
        <w:t>Ranganathan</w:t>
      </w:r>
      <w:proofErr w:type="spellEnd"/>
      <w:r w:rsidRPr="00046686">
        <w:rPr>
          <w:sz w:val="22"/>
          <w:szCs w:val="22"/>
        </w:rPr>
        <w:t xml:space="preserve">, C., </w:t>
      </w:r>
      <w:r w:rsidR="00646D41">
        <w:rPr>
          <w:sz w:val="22"/>
          <w:szCs w:val="22"/>
        </w:rPr>
        <w:t>and</w:t>
      </w:r>
      <w:r w:rsidR="00160E11">
        <w:rPr>
          <w:sz w:val="22"/>
          <w:szCs w:val="22"/>
        </w:rPr>
        <w:t xml:space="preserve"> </w:t>
      </w:r>
      <w:proofErr w:type="spellStart"/>
      <w:r w:rsidR="00160E11">
        <w:rPr>
          <w:sz w:val="22"/>
          <w:szCs w:val="22"/>
        </w:rPr>
        <w:t>Babad</w:t>
      </w:r>
      <w:proofErr w:type="spellEnd"/>
      <w:r w:rsidR="00160E11">
        <w:rPr>
          <w:sz w:val="22"/>
          <w:szCs w:val="22"/>
        </w:rPr>
        <w:t>, Y. (2008)</w:t>
      </w:r>
      <w:r w:rsidRPr="00046686">
        <w:rPr>
          <w:sz w:val="22"/>
          <w:szCs w:val="22"/>
        </w:rPr>
        <w:t xml:space="preserve"> </w:t>
      </w:r>
      <w:r w:rsidR="00160E11">
        <w:rPr>
          <w:sz w:val="22"/>
          <w:szCs w:val="22"/>
        </w:rPr>
        <w:t>‘</w:t>
      </w:r>
      <w:r w:rsidRPr="00046686">
        <w:rPr>
          <w:sz w:val="22"/>
          <w:szCs w:val="22"/>
        </w:rPr>
        <w:t>Two-level model of customer retention in the US mobile te</w:t>
      </w:r>
      <w:r w:rsidR="00160E11">
        <w:rPr>
          <w:sz w:val="22"/>
          <w:szCs w:val="22"/>
        </w:rPr>
        <w:t>lecommunications service market,’</w:t>
      </w:r>
      <w:r w:rsidRPr="00046686">
        <w:rPr>
          <w:sz w:val="22"/>
          <w:szCs w:val="22"/>
        </w:rPr>
        <w:t xml:space="preserve"> </w:t>
      </w:r>
      <w:r w:rsidRPr="00160E11">
        <w:rPr>
          <w:i/>
          <w:sz w:val="22"/>
          <w:szCs w:val="22"/>
        </w:rPr>
        <w:t>Telecommunications Policy,</w:t>
      </w:r>
      <w:r w:rsidRPr="00046686">
        <w:rPr>
          <w:sz w:val="22"/>
          <w:szCs w:val="22"/>
        </w:rPr>
        <w:t xml:space="preserve"> 32(3), 182-196.</w:t>
      </w:r>
    </w:p>
    <w:p w:rsidR="00D33DB0" w:rsidRPr="00046686" w:rsidRDefault="00160E11" w:rsidP="00D33DB0">
      <w:pPr>
        <w:autoSpaceDE w:val="0"/>
        <w:autoSpaceDN w:val="0"/>
        <w:spacing w:after="80" w:line="240" w:lineRule="exact"/>
        <w:ind w:left="440" w:hangingChars="200" w:hanging="440"/>
        <w:rPr>
          <w:sz w:val="22"/>
          <w:szCs w:val="22"/>
        </w:rPr>
      </w:pPr>
      <w:r>
        <w:rPr>
          <w:sz w:val="22"/>
          <w:szCs w:val="22"/>
        </w:rPr>
        <w:t>Shin, D. (2006)</w:t>
      </w:r>
      <w:r w:rsidR="00D33DB0" w:rsidRPr="00046686">
        <w:rPr>
          <w:sz w:val="22"/>
          <w:szCs w:val="22"/>
        </w:rPr>
        <w:t xml:space="preserve"> </w:t>
      </w:r>
      <w:r>
        <w:rPr>
          <w:sz w:val="22"/>
          <w:szCs w:val="22"/>
        </w:rPr>
        <w:t>‘</w:t>
      </w:r>
      <w:r w:rsidR="00D33DB0" w:rsidRPr="00046686">
        <w:rPr>
          <w:sz w:val="22"/>
          <w:szCs w:val="22"/>
        </w:rPr>
        <w:t>A study of mobile number portabili</w:t>
      </w:r>
      <w:r>
        <w:rPr>
          <w:sz w:val="22"/>
          <w:szCs w:val="22"/>
        </w:rPr>
        <w:t>ty effects in the United States,’</w:t>
      </w:r>
      <w:r w:rsidR="00D33DB0" w:rsidRPr="00046686">
        <w:rPr>
          <w:sz w:val="22"/>
          <w:szCs w:val="22"/>
        </w:rPr>
        <w:t xml:space="preserve"> </w:t>
      </w:r>
      <w:r w:rsidR="00D33DB0" w:rsidRPr="00046686">
        <w:rPr>
          <w:i/>
          <w:sz w:val="22"/>
          <w:szCs w:val="22"/>
        </w:rPr>
        <w:t>Telematics and Informatics,</w:t>
      </w:r>
      <w:r w:rsidR="00D33DB0" w:rsidRPr="00046686">
        <w:rPr>
          <w:sz w:val="22"/>
          <w:szCs w:val="22"/>
        </w:rPr>
        <w:t xml:space="preserve"> </w:t>
      </w:r>
      <w:r w:rsidR="00D33DB0" w:rsidRPr="00046686">
        <w:rPr>
          <w:i/>
          <w:sz w:val="22"/>
          <w:szCs w:val="22"/>
        </w:rPr>
        <w:t>24</w:t>
      </w:r>
      <w:r w:rsidR="00D33DB0" w:rsidRPr="00046686">
        <w:rPr>
          <w:sz w:val="22"/>
          <w:szCs w:val="22"/>
        </w:rPr>
        <w:t xml:space="preserve"> (1), 1-14.</w:t>
      </w:r>
    </w:p>
    <w:p w:rsidR="00D33DB0" w:rsidRPr="00046686" w:rsidRDefault="00D33DB0" w:rsidP="00D33DB0">
      <w:pPr>
        <w:autoSpaceDE w:val="0"/>
        <w:autoSpaceDN w:val="0"/>
        <w:spacing w:after="80" w:line="240" w:lineRule="exact"/>
        <w:ind w:left="440" w:hangingChars="200" w:hanging="440"/>
        <w:rPr>
          <w:sz w:val="22"/>
          <w:szCs w:val="22"/>
        </w:rPr>
      </w:pPr>
      <w:r w:rsidRPr="00046686">
        <w:rPr>
          <w:sz w:val="22"/>
          <w:szCs w:val="22"/>
        </w:rPr>
        <w:t xml:space="preserve">Shin, D. H., </w:t>
      </w:r>
      <w:r w:rsidR="00646D41">
        <w:rPr>
          <w:sz w:val="22"/>
          <w:szCs w:val="22"/>
        </w:rPr>
        <w:t>and</w:t>
      </w:r>
      <w:r w:rsidR="00160E11">
        <w:rPr>
          <w:sz w:val="22"/>
          <w:szCs w:val="22"/>
        </w:rPr>
        <w:t xml:space="preserve"> Kim, W. Y. (2007)</w:t>
      </w:r>
      <w:r w:rsidRPr="00046686">
        <w:rPr>
          <w:sz w:val="22"/>
          <w:szCs w:val="22"/>
        </w:rPr>
        <w:t xml:space="preserve"> </w:t>
      </w:r>
      <w:r w:rsidR="00160E11">
        <w:rPr>
          <w:sz w:val="22"/>
          <w:szCs w:val="22"/>
        </w:rPr>
        <w:t>‘</w:t>
      </w:r>
      <w:r w:rsidRPr="00046686">
        <w:rPr>
          <w:sz w:val="22"/>
          <w:szCs w:val="22"/>
        </w:rPr>
        <w:t>Mobile number portability on customer switching behavior: in the c</w:t>
      </w:r>
      <w:r w:rsidR="00160E11">
        <w:rPr>
          <w:sz w:val="22"/>
          <w:szCs w:val="22"/>
        </w:rPr>
        <w:t>ase of the Korean mobile market,’</w:t>
      </w:r>
      <w:r w:rsidRPr="00046686">
        <w:rPr>
          <w:sz w:val="22"/>
          <w:szCs w:val="22"/>
        </w:rPr>
        <w:t xml:space="preserve"> </w:t>
      </w:r>
      <w:r w:rsidRPr="00160E11">
        <w:rPr>
          <w:i/>
          <w:sz w:val="22"/>
          <w:szCs w:val="22"/>
        </w:rPr>
        <w:t>info,</w:t>
      </w:r>
      <w:r w:rsidRPr="00046686">
        <w:rPr>
          <w:sz w:val="22"/>
          <w:szCs w:val="22"/>
        </w:rPr>
        <w:t xml:space="preserve"> 9(4), 38-54.</w:t>
      </w:r>
    </w:p>
    <w:p w:rsidR="00D33DB0" w:rsidRPr="00046686" w:rsidRDefault="00D33DB0" w:rsidP="00D33DB0">
      <w:pPr>
        <w:autoSpaceDE w:val="0"/>
        <w:autoSpaceDN w:val="0"/>
        <w:spacing w:after="80" w:line="240" w:lineRule="exact"/>
        <w:ind w:left="440" w:hangingChars="200" w:hanging="440"/>
        <w:rPr>
          <w:sz w:val="22"/>
          <w:szCs w:val="22"/>
        </w:rPr>
      </w:pPr>
      <w:proofErr w:type="spellStart"/>
      <w:r w:rsidRPr="00046686">
        <w:rPr>
          <w:sz w:val="22"/>
          <w:szCs w:val="22"/>
        </w:rPr>
        <w:t>Suthar</w:t>
      </w:r>
      <w:proofErr w:type="spellEnd"/>
      <w:r w:rsidRPr="00046686">
        <w:rPr>
          <w:sz w:val="22"/>
          <w:szCs w:val="22"/>
        </w:rPr>
        <w:t xml:space="preserve">, B. K., Sharma, K. J., </w:t>
      </w:r>
      <w:r w:rsidR="00646D41">
        <w:rPr>
          <w:sz w:val="22"/>
          <w:szCs w:val="22"/>
        </w:rPr>
        <w:t>and</w:t>
      </w:r>
      <w:r w:rsidR="00160E11">
        <w:rPr>
          <w:sz w:val="22"/>
          <w:szCs w:val="22"/>
        </w:rPr>
        <w:t xml:space="preserve"> </w:t>
      </w:r>
      <w:proofErr w:type="spellStart"/>
      <w:r w:rsidR="00160E11">
        <w:rPr>
          <w:sz w:val="22"/>
          <w:szCs w:val="22"/>
        </w:rPr>
        <w:t>Gwal</w:t>
      </w:r>
      <w:proofErr w:type="spellEnd"/>
      <w:r w:rsidR="00160E11">
        <w:rPr>
          <w:sz w:val="22"/>
          <w:szCs w:val="22"/>
        </w:rPr>
        <w:t>, A. (2012)</w:t>
      </w:r>
      <w:r w:rsidRPr="00046686">
        <w:rPr>
          <w:sz w:val="22"/>
          <w:szCs w:val="22"/>
        </w:rPr>
        <w:t xml:space="preserve"> </w:t>
      </w:r>
      <w:r w:rsidR="00160E11">
        <w:rPr>
          <w:sz w:val="22"/>
          <w:szCs w:val="22"/>
        </w:rPr>
        <w:t>‘</w:t>
      </w:r>
      <w:r w:rsidRPr="00046686">
        <w:rPr>
          <w:sz w:val="22"/>
          <w:szCs w:val="22"/>
        </w:rPr>
        <w:t xml:space="preserve">A study on Consumer </w:t>
      </w:r>
      <w:proofErr w:type="spellStart"/>
      <w:r w:rsidRPr="00046686">
        <w:rPr>
          <w:sz w:val="22"/>
          <w:szCs w:val="22"/>
        </w:rPr>
        <w:t>behaviour</w:t>
      </w:r>
      <w:proofErr w:type="spellEnd"/>
      <w:r w:rsidRPr="00046686">
        <w:rPr>
          <w:sz w:val="22"/>
          <w:szCs w:val="22"/>
        </w:rPr>
        <w:t xml:space="preserve"> after mobile number portability with refe</w:t>
      </w:r>
      <w:r w:rsidR="00160E11">
        <w:rPr>
          <w:sz w:val="22"/>
          <w:szCs w:val="22"/>
        </w:rPr>
        <w:t>rence to Gujarat Telecom Circle,’</w:t>
      </w:r>
      <w:r w:rsidRPr="00046686">
        <w:rPr>
          <w:sz w:val="22"/>
          <w:szCs w:val="22"/>
        </w:rPr>
        <w:t xml:space="preserve"> </w:t>
      </w:r>
      <w:r w:rsidRPr="00046686">
        <w:rPr>
          <w:i/>
          <w:sz w:val="22"/>
          <w:szCs w:val="22"/>
        </w:rPr>
        <w:t>BAUDDHIK</w:t>
      </w:r>
      <w:r w:rsidRPr="00046686">
        <w:rPr>
          <w:sz w:val="22"/>
          <w:szCs w:val="22"/>
        </w:rPr>
        <w:t xml:space="preserve">, </w:t>
      </w:r>
      <w:r w:rsidRPr="00046686">
        <w:rPr>
          <w:i/>
          <w:sz w:val="22"/>
          <w:szCs w:val="22"/>
        </w:rPr>
        <w:t>3</w:t>
      </w:r>
      <w:r w:rsidRPr="00046686">
        <w:rPr>
          <w:sz w:val="22"/>
          <w:szCs w:val="22"/>
        </w:rPr>
        <w:t>(2), 1</w:t>
      </w:r>
      <w:r w:rsidRPr="00046686">
        <w:rPr>
          <w:rFonts w:eastAsia="Calibri"/>
          <w:sz w:val="22"/>
          <w:szCs w:val="22"/>
        </w:rPr>
        <w:t>–</w:t>
      </w:r>
      <w:r w:rsidRPr="00046686">
        <w:rPr>
          <w:sz w:val="22"/>
          <w:szCs w:val="22"/>
        </w:rPr>
        <w:t>7.</w:t>
      </w:r>
    </w:p>
    <w:p w:rsidR="00D33DB0" w:rsidRPr="00046686" w:rsidRDefault="00D33DB0" w:rsidP="00D33DB0">
      <w:pPr>
        <w:autoSpaceDE w:val="0"/>
        <w:autoSpaceDN w:val="0"/>
        <w:spacing w:after="80" w:line="240" w:lineRule="exact"/>
        <w:ind w:left="440" w:hangingChars="200" w:hanging="440"/>
        <w:rPr>
          <w:sz w:val="22"/>
          <w:szCs w:val="22"/>
        </w:rPr>
      </w:pPr>
      <w:proofErr w:type="spellStart"/>
      <w:r w:rsidRPr="00046686">
        <w:rPr>
          <w:sz w:val="22"/>
          <w:szCs w:val="22"/>
        </w:rPr>
        <w:t>Tiamiyu</w:t>
      </w:r>
      <w:proofErr w:type="spellEnd"/>
      <w:r w:rsidRPr="00046686">
        <w:rPr>
          <w:sz w:val="22"/>
          <w:szCs w:val="22"/>
        </w:rPr>
        <w:t>,</w:t>
      </w:r>
      <w:r w:rsidRPr="00046686">
        <w:rPr>
          <w:bCs/>
          <w:sz w:val="22"/>
          <w:szCs w:val="22"/>
        </w:rPr>
        <w:t xml:space="preserve"> </w:t>
      </w:r>
      <w:r w:rsidRPr="00046686">
        <w:rPr>
          <w:sz w:val="22"/>
          <w:szCs w:val="22"/>
        </w:rPr>
        <w:t xml:space="preserve">O. A., </w:t>
      </w:r>
      <w:r w:rsidR="00646D41">
        <w:rPr>
          <w:sz w:val="22"/>
          <w:szCs w:val="22"/>
        </w:rPr>
        <w:t>and</w:t>
      </w:r>
      <w:r w:rsidRPr="00046686">
        <w:rPr>
          <w:sz w:val="22"/>
          <w:szCs w:val="22"/>
        </w:rPr>
        <w:t xml:space="preserve"> </w:t>
      </w:r>
      <w:proofErr w:type="spellStart"/>
      <w:r w:rsidRPr="00046686">
        <w:rPr>
          <w:sz w:val="22"/>
          <w:szCs w:val="22"/>
        </w:rPr>
        <w:t>Mejabi</w:t>
      </w:r>
      <w:proofErr w:type="spellEnd"/>
      <w:r w:rsidR="00160E11">
        <w:rPr>
          <w:sz w:val="22"/>
          <w:szCs w:val="22"/>
        </w:rPr>
        <w:t>, O. V. (2012)</w:t>
      </w:r>
      <w:r w:rsidRPr="00046686">
        <w:rPr>
          <w:bCs/>
          <w:sz w:val="22"/>
          <w:szCs w:val="22"/>
        </w:rPr>
        <w:t xml:space="preserve"> </w:t>
      </w:r>
      <w:r w:rsidR="00160E11">
        <w:rPr>
          <w:bCs/>
          <w:sz w:val="22"/>
          <w:szCs w:val="22"/>
        </w:rPr>
        <w:t>‘</w:t>
      </w:r>
      <w:r w:rsidRPr="00046686">
        <w:rPr>
          <w:sz w:val="22"/>
          <w:szCs w:val="22"/>
        </w:rPr>
        <w:t>Evaluation of Subscriber Attitude to Mobile Number Portab</w:t>
      </w:r>
      <w:r w:rsidR="00160E11">
        <w:rPr>
          <w:sz w:val="22"/>
          <w:szCs w:val="22"/>
        </w:rPr>
        <w:t>ility Implementation in Nigeria,’</w:t>
      </w:r>
      <w:r w:rsidRPr="00046686">
        <w:rPr>
          <w:sz w:val="22"/>
          <w:szCs w:val="22"/>
        </w:rPr>
        <w:t xml:space="preserve"> </w:t>
      </w:r>
      <w:r w:rsidRPr="00046686">
        <w:rPr>
          <w:bCs/>
          <w:i/>
          <w:sz w:val="22"/>
          <w:szCs w:val="22"/>
        </w:rPr>
        <w:t>Journal of Emerging Trends in Computing and Information Sciences</w:t>
      </w:r>
      <w:r w:rsidRPr="00046686">
        <w:rPr>
          <w:bCs/>
          <w:sz w:val="22"/>
          <w:szCs w:val="22"/>
        </w:rPr>
        <w:t xml:space="preserve">, </w:t>
      </w:r>
      <w:r w:rsidRPr="00046686">
        <w:rPr>
          <w:i/>
          <w:sz w:val="22"/>
          <w:szCs w:val="22"/>
        </w:rPr>
        <w:t>3</w:t>
      </w:r>
      <w:r w:rsidRPr="00046686">
        <w:rPr>
          <w:sz w:val="22"/>
          <w:szCs w:val="22"/>
        </w:rPr>
        <w:t>(4), 526</w:t>
      </w:r>
      <w:r w:rsidRPr="00046686">
        <w:rPr>
          <w:rFonts w:eastAsia="Calibri"/>
          <w:sz w:val="22"/>
          <w:szCs w:val="22"/>
        </w:rPr>
        <w:t>–</w:t>
      </w:r>
      <w:r w:rsidRPr="00046686">
        <w:rPr>
          <w:sz w:val="22"/>
          <w:szCs w:val="22"/>
        </w:rPr>
        <w:t xml:space="preserve">533.  </w:t>
      </w:r>
    </w:p>
    <w:p w:rsidR="00D33DB0" w:rsidRPr="00046686" w:rsidRDefault="00D33DB0" w:rsidP="00D33DB0">
      <w:pPr>
        <w:pStyle w:val="NoSpacing"/>
        <w:jc w:val="both"/>
        <w:rPr>
          <w:rFonts w:ascii="Times New Roman" w:hAnsi="Times New Roman" w:cs="Times New Roman"/>
        </w:rPr>
      </w:pPr>
      <w:proofErr w:type="spellStart"/>
      <w:r w:rsidRPr="00046686">
        <w:rPr>
          <w:rFonts w:ascii="Times New Roman" w:hAnsi="Times New Roman" w:cs="Times New Roman"/>
        </w:rPr>
        <w:t>Tiamiyu</w:t>
      </w:r>
      <w:proofErr w:type="spellEnd"/>
      <w:r w:rsidRPr="00046686">
        <w:rPr>
          <w:rFonts w:ascii="Times New Roman" w:hAnsi="Times New Roman" w:cs="Times New Roman"/>
        </w:rPr>
        <w:t xml:space="preserve">, O. A., </w:t>
      </w:r>
      <w:r w:rsidR="00646D41">
        <w:rPr>
          <w:rFonts w:ascii="Times New Roman" w:hAnsi="Times New Roman" w:cs="Times New Roman"/>
        </w:rPr>
        <w:t>and</w:t>
      </w:r>
      <w:r w:rsidR="00160E11">
        <w:rPr>
          <w:rFonts w:ascii="Times New Roman" w:hAnsi="Times New Roman" w:cs="Times New Roman"/>
        </w:rPr>
        <w:t xml:space="preserve"> </w:t>
      </w:r>
      <w:proofErr w:type="spellStart"/>
      <w:r w:rsidR="00160E11">
        <w:rPr>
          <w:rFonts w:ascii="Times New Roman" w:hAnsi="Times New Roman" w:cs="Times New Roman"/>
        </w:rPr>
        <w:t>Mejabi</w:t>
      </w:r>
      <w:proofErr w:type="spellEnd"/>
      <w:r w:rsidR="00160E11">
        <w:rPr>
          <w:rFonts w:ascii="Times New Roman" w:hAnsi="Times New Roman" w:cs="Times New Roman"/>
        </w:rPr>
        <w:t>, O. V. (2012)</w:t>
      </w:r>
      <w:r w:rsidRPr="00046686">
        <w:rPr>
          <w:rFonts w:ascii="Times New Roman" w:hAnsi="Times New Roman" w:cs="Times New Roman"/>
        </w:rPr>
        <w:t xml:space="preserve"> </w:t>
      </w:r>
      <w:r w:rsidR="00160E11">
        <w:rPr>
          <w:rFonts w:ascii="Times New Roman" w:hAnsi="Times New Roman" w:cs="Times New Roman"/>
        </w:rPr>
        <w:t>‘</w:t>
      </w:r>
      <w:r w:rsidRPr="00046686">
        <w:rPr>
          <w:rFonts w:ascii="Times New Roman" w:hAnsi="Times New Roman" w:cs="Times New Roman"/>
        </w:rPr>
        <w:t>Evaluation of subscriber attitude to mobile number</w:t>
      </w:r>
      <w:r w:rsidRPr="00046686">
        <w:rPr>
          <w:rFonts w:ascii="Times New Roman" w:hAnsi="Times New Roman" w:cs="Times New Roman"/>
        </w:rPr>
        <w:tab/>
        <w:t>portab</w:t>
      </w:r>
      <w:r w:rsidR="00160E11">
        <w:rPr>
          <w:rFonts w:ascii="Times New Roman" w:hAnsi="Times New Roman" w:cs="Times New Roman"/>
        </w:rPr>
        <w:t>ility implementation in Nigeria,’</w:t>
      </w:r>
      <w:r w:rsidRPr="00046686">
        <w:rPr>
          <w:rFonts w:ascii="Times New Roman" w:hAnsi="Times New Roman" w:cs="Times New Roman"/>
        </w:rPr>
        <w:t xml:space="preserve"> </w:t>
      </w:r>
      <w:r w:rsidRPr="00160E11">
        <w:rPr>
          <w:rFonts w:ascii="Times New Roman" w:hAnsi="Times New Roman" w:cs="Times New Roman"/>
          <w:i/>
        </w:rPr>
        <w:t>Journal of Emerging Trends in Computing and</w:t>
      </w:r>
      <w:r w:rsidRPr="00160E11">
        <w:rPr>
          <w:rFonts w:ascii="Times New Roman" w:hAnsi="Times New Roman" w:cs="Times New Roman"/>
          <w:i/>
        </w:rPr>
        <w:tab/>
        <w:t>Information Sciences,</w:t>
      </w:r>
      <w:r w:rsidRPr="00046686">
        <w:rPr>
          <w:rFonts w:ascii="Times New Roman" w:hAnsi="Times New Roman" w:cs="Times New Roman"/>
        </w:rPr>
        <w:t xml:space="preserve"> 3(4), 526-533.</w:t>
      </w:r>
    </w:p>
    <w:p w:rsidR="00D33DB0" w:rsidRPr="00046686" w:rsidRDefault="00D33DB0" w:rsidP="00D33DB0">
      <w:pPr>
        <w:spacing w:after="80" w:line="240" w:lineRule="exact"/>
        <w:ind w:left="440" w:hangingChars="200" w:hanging="440"/>
        <w:rPr>
          <w:sz w:val="22"/>
          <w:szCs w:val="22"/>
        </w:rPr>
      </w:pPr>
      <w:proofErr w:type="spellStart"/>
      <w:r w:rsidRPr="00046686">
        <w:rPr>
          <w:sz w:val="22"/>
          <w:szCs w:val="22"/>
        </w:rPr>
        <w:t>Venkatesh</w:t>
      </w:r>
      <w:proofErr w:type="spellEnd"/>
      <w:r w:rsidRPr="00046686">
        <w:rPr>
          <w:sz w:val="22"/>
          <w:szCs w:val="22"/>
        </w:rPr>
        <w:t xml:space="preserve">, V., Morris, M. G., Davis, G. B., </w:t>
      </w:r>
      <w:r w:rsidR="00646D41">
        <w:rPr>
          <w:sz w:val="22"/>
          <w:szCs w:val="22"/>
        </w:rPr>
        <w:t>and</w:t>
      </w:r>
      <w:r w:rsidR="00160E11">
        <w:rPr>
          <w:sz w:val="22"/>
          <w:szCs w:val="22"/>
        </w:rPr>
        <w:t xml:space="preserve"> Davis, F. D. (2003)</w:t>
      </w:r>
      <w:r w:rsidRPr="00046686">
        <w:rPr>
          <w:sz w:val="22"/>
          <w:szCs w:val="22"/>
        </w:rPr>
        <w:t xml:space="preserve"> </w:t>
      </w:r>
      <w:r w:rsidR="00160E11">
        <w:rPr>
          <w:sz w:val="22"/>
          <w:szCs w:val="22"/>
        </w:rPr>
        <w:t>‘</w:t>
      </w:r>
      <w:r w:rsidRPr="00046686">
        <w:rPr>
          <w:sz w:val="22"/>
          <w:szCs w:val="22"/>
        </w:rPr>
        <w:t>User acceptance of information technology</w:t>
      </w:r>
      <w:r w:rsidR="00160E11">
        <w:rPr>
          <w:sz w:val="22"/>
          <w:szCs w:val="22"/>
        </w:rPr>
        <w:t>: toward a unified view,’</w:t>
      </w:r>
      <w:r w:rsidRPr="00046686">
        <w:rPr>
          <w:sz w:val="22"/>
          <w:szCs w:val="22"/>
        </w:rPr>
        <w:t xml:space="preserve"> </w:t>
      </w:r>
      <w:r w:rsidRPr="00046686">
        <w:rPr>
          <w:i/>
          <w:iCs/>
          <w:sz w:val="22"/>
          <w:szCs w:val="22"/>
        </w:rPr>
        <w:t>MIS Quarterly,</w:t>
      </w:r>
      <w:r w:rsidRPr="00046686">
        <w:rPr>
          <w:sz w:val="22"/>
          <w:szCs w:val="22"/>
        </w:rPr>
        <w:t xml:space="preserve"> </w:t>
      </w:r>
      <w:r w:rsidRPr="00046686">
        <w:rPr>
          <w:i/>
          <w:sz w:val="22"/>
          <w:szCs w:val="22"/>
        </w:rPr>
        <w:t>27</w:t>
      </w:r>
      <w:r w:rsidRPr="00046686">
        <w:rPr>
          <w:sz w:val="22"/>
          <w:szCs w:val="22"/>
        </w:rPr>
        <w:t>(3), 425</w:t>
      </w:r>
      <w:r w:rsidRPr="00046686">
        <w:rPr>
          <w:rFonts w:eastAsia="Calibri"/>
          <w:sz w:val="22"/>
          <w:szCs w:val="22"/>
        </w:rPr>
        <w:t>–</w:t>
      </w:r>
      <w:r w:rsidRPr="00046686">
        <w:rPr>
          <w:sz w:val="22"/>
          <w:szCs w:val="22"/>
        </w:rPr>
        <w:t>478.</w:t>
      </w:r>
    </w:p>
    <w:p w:rsidR="00D33DB0" w:rsidRPr="00046686" w:rsidRDefault="00D33DB0" w:rsidP="00D33DB0">
      <w:pPr>
        <w:spacing w:after="80" w:line="240" w:lineRule="exact"/>
        <w:ind w:left="440" w:hangingChars="200" w:hanging="440"/>
        <w:rPr>
          <w:i/>
          <w:iCs/>
          <w:sz w:val="22"/>
          <w:szCs w:val="22"/>
        </w:rPr>
      </w:pPr>
      <w:proofErr w:type="spellStart"/>
      <w:r w:rsidRPr="00046686">
        <w:rPr>
          <w:bCs/>
          <w:sz w:val="22"/>
          <w:szCs w:val="22"/>
        </w:rPr>
        <w:t>Venkatesh</w:t>
      </w:r>
      <w:proofErr w:type="spellEnd"/>
      <w:r w:rsidRPr="00046686">
        <w:rPr>
          <w:bCs/>
          <w:sz w:val="22"/>
          <w:szCs w:val="22"/>
        </w:rPr>
        <w:t>, V.</w:t>
      </w:r>
      <w:r w:rsidRPr="00046686">
        <w:rPr>
          <w:sz w:val="22"/>
          <w:szCs w:val="22"/>
        </w:rPr>
        <w:t xml:space="preserve">, </w:t>
      </w:r>
      <w:r w:rsidRPr="00046686">
        <w:rPr>
          <w:bCs/>
          <w:sz w:val="22"/>
          <w:szCs w:val="22"/>
        </w:rPr>
        <w:t>Thong, J. Y. L.</w:t>
      </w:r>
      <w:r w:rsidRPr="00046686">
        <w:rPr>
          <w:sz w:val="22"/>
          <w:szCs w:val="22"/>
        </w:rPr>
        <w:t xml:space="preserve">, </w:t>
      </w:r>
      <w:r w:rsidR="00646D41">
        <w:rPr>
          <w:sz w:val="22"/>
          <w:szCs w:val="22"/>
        </w:rPr>
        <w:t>and</w:t>
      </w:r>
      <w:r w:rsidRPr="00046686">
        <w:rPr>
          <w:sz w:val="22"/>
          <w:szCs w:val="22"/>
        </w:rPr>
        <w:t xml:space="preserve"> </w:t>
      </w:r>
      <w:r w:rsidR="00160E11">
        <w:rPr>
          <w:bCs/>
          <w:sz w:val="22"/>
          <w:szCs w:val="22"/>
        </w:rPr>
        <w:t>Xu, X. (2012)</w:t>
      </w:r>
      <w:r w:rsidRPr="00046686">
        <w:rPr>
          <w:sz w:val="22"/>
          <w:szCs w:val="22"/>
        </w:rPr>
        <w:t xml:space="preserve"> </w:t>
      </w:r>
      <w:r w:rsidR="00160E11">
        <w:rPr>
          <w:sz w:val="22"/>
          <w:szCs w:val="22"/>
        </w:rPr>
        <w:t>‘</w:t>
      </w:r>
      <w:r w:rsidRPr="00046686">
        <w:rPr>
          <w:bCs/>
          <w:sz w:val="22"/>
          <w:szCs w:val="22"/>
        </w:rPr>
        <w:t>Consumer acceptance and use of information technology: extending the unified theory of a</w:t>
      </w:r>
      <w:r w:rsidR="00160E11">
        <w:rPr>
          <w:bCs/>
          <w:sz w:val="22"/>
          <w:szCs w:val="22"/>
        </w:rPr>
        <w:t>cceptance and use of technology,’</w:t>
      </w:r>
      <w:r w:rsidRPr="00046686">
        <w:rPr>
          <w:i/>
          <w:iCs/>
          <w:sz w:val="22"/>
          <w:szCs w:val="22"/>
        </w:rPr>
        <w:t xml:space="preserve"> </w:t>
      </w:r>
      <w:proofErr w:type="spellStart"/>
      <w:r w:rsidRPr="00046686">
        <w:rPr>
          <w:i/>
          <w:iCs/>
          <w:sz w:val="22"/>
          <w:szCs w:val="22"/>
        </w:rPr>
        <w:t>MISQuarterly</w:t>
      </w:r>
      <w:proofErr w:type="spellEnd"/>
      <w:r w:rsidRPr="00046686">
        <w:rPr>
          <w:i/>
          <w:iCs/>
          <w:sz w:val="22"/>
          <w:szCs w:val="22"/>
        </w:rPr>
        <w:t>, 36</w:t>
      </w:r>
      <w:r w:rsidRPr="00046686">
        <w:rPr>
          <w:sz w:val="22"/>
          <w:szCs w:val="22"/>
        </w:rPr>
        <w:t>(</w:t>
      </w:r>
      <w:r w:rsidRPr="00046686">
        <w:rPr>
          <w:iCs/>
          <w:sz w:val="22"/>
          <w:szCs w:val="22"/>
        </w:rPr>
        <w:t>1)</w:t>
      </w:r>
      <w:r w:rsidRPr="00046686">
        <w:rPr>
          <w:i/>
          <w:iCs/>
          <w:sz w:val="22"/>
          <w:szCs w:val="22"/>
        </w:rPr>
        <w:t xml:space="preserve">, </w:t>
      </w:r>
      <w:r w:rsidRPr="00046686">
        <w:rPr>
          <w:iCs/>
          <w:sz w:val="22"/>
          <w:szCs w:val="22"/>
        </w:rPr>
        <w:t>157</w:t>
      </w:r>
      <w:r w:rsidRPr="00046686">
        <w:rPr>
          <w:rFonts w:eastAsia="Calibri"/>
          <w:sz w:val="22"/>
          <w:szCs w:val="22"/>
        </w:rPr>
        <w:t>–</w:t>
      </w:r>
      <w:r w:rsidRPr="00046686">
        <w:rPr>
          <w:iCs/>
          <w:sz w:val="22"/>
          <w:szCs w:val="22"/>
        </w:rPr>
        <w:t>178</w:t>
      </w:r>
      <w:r w:rsidRPr="00046686">
        <w:rPr>
          <w:i/>
          <w:iCs/>
          <w:sz w:val="22"/>
          <w:szCs w:val="22"/>
        </w:rPr>
        <w:t>.</w:t>
      </w:r>
    </w:p>
    <w:p w:rsidR="00D33DB0" w:rsidRPr="00046686" w:rsidRDefault="00D33DB0" w:rsidP="00D33DB0">
      <w:pPr>
        <w:autoSpaceDE w:val="0"/>
        <w:autoSpaceDN w:val="0"/>
        <w:spacing w:after="80" w:line="240" w:lineRule="exact"/>
        <w:ind w:left="440" w:hangingChars="200" w:hanging="440"/>
        <w:rPr>
          <w:sz w:val="22"/>
          <w:szCs w:val="22"/>
        </w:rPr>
      </w:pPr>
      <w:r w:rsidRPr="00046686">
        <w:rPr>
          <w:sz w:val="22"/>
          <w:szCs w:val="22"/>
        </w:rPr>
        <w:t xml:space="preserve">Yamane, T. (1967). </w:t>
      </w:r>
      <w:r w:rsidR="00160E11">
        <w:rPr>
          <w:sz w:val="22"/>
          <w:szCs w:val="22"/>
        </w:rPr>
        <w:t>‘</w:t>
      </w:r>
      <w:r w:rsidRPr="00046686">
        <w:rPr>
          <w:i/>
          <w:sz w:val="22"/>
          <w:szCs w:val="22"/>
        </w:rPr>
        <w:t>Statistics: an introductory analysis</w:t>
      </w:r>
      <w:r w:rsidR="00160E11">
        <w:rPr>
          <w:sz w:val="22"/>
          <w:szCs w:val="22"/>
        </w:rPr>
        <w:t>,’</w:t>
      </w:r>
      <w:r w:rsidRPr="00046686">
        <w:rPr>
          <w:sz w:val="22"/>
          <w:szCs w:val="22"/>
        </w:rPr>
        <w:t xml:space="preserve"> New York: Harper and Row.</w:t>
      </w:r>
    </w:p>
    <w:p w:rsidR="00D33DB0" w:rsidRDefault="00D33DB0"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sectPr w:rsidR="00D33DB0" w:rsidSect="00D33DB0">
          <w:headerReference w:type="default" r:id="rId24"/>
          <w:footerReference w:type="default" r:id="rId25"/>
          <w:type w:val="continuous"/>
          <w:pgSz w:w="12240" w:h="15840"/>
          <w:pgMar w:top="1440" w:right="1440" w:bottom="1440" w:left="1440" w:header="720" w:footer="720" w:gutter="0"/>
          <w:cols w:space="720"/>
          <w:docGrid w:linePitch="326"/>
        </w:sectPr>
      </w:pPr>
    </w:p>
    <w:p w:rsidR="00D33DB0" w:rsidRDefault="00D33DB0"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D33DB0" w:rsidRDefault="00D33DB0"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D33DB0" w:rsidRDefault="00D33DB0"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rsidR="00E93193" w:rsidRDefault="00E93193" w:rsidP="00D33DB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sectPr w:rsidR="00E93193" w:rsidSect="000B7014">
          <w:type w:val="continuous"/>
          <w:pgSz w:w="12240" w:h="15840"/>
          <w:pgMar w:top="1440" w:right="1440" w:bottom="1440" w:left="1440" w:header="720" w:footer="720" w:gutter="0"/>
          <w:cols w:space="720"/>
        </w:sectPr>
      </w:pPr>
    </w:p>
    <w:p w:rsidR="001C648D" w:rsidRPr="006029C1" w:rsidRDefault="001C648D" w:rsidP="007341B9">
      <w:pPr>
        <w:spacing w:after="80" w:line="240" w:lineRule="exact"/>
        <w:rPr>
          <w:rFonts w:eastAsia="Times New Roman"/>
          <w:color w:val="000000"/>
          <w:sz w:val="18"/>
          <w:szCs w:val="18"/>
          <w:bdr w:val="none" w:sz="0" w:space="0" w:color="auto"/>
          <w:lang w:val="en-GB" w:eastAsia="en-GB"/>
        </w:rPr>
      </w:pPr>
    </w:p>
    <w:sectPr w:rsidR="001C648D" w:rsidRPr="006029C1" w:rsidSect="007341B9">
      <w:headerReference w:type="default" r:id="rId26"/>
      <w:footerReference w:type="default" r:id="rId27"/>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E6E" w:rsidRDefault="00952E6E">
      <w:r>
        <w:separator/>
      </w:r>
    </w:p>
  </w:endnote>
  <w:endnote w:type="continuationSeparator" w:id="0">
    <w:p w:rsidR="00952E6E" w:rsidRDefault="0095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395711"/>
      <w:docPartObj>
        <w:docPartGallery w:val="Page Numbers (Bottom of Page)"/>
        <w:docPartUnique/>
      </w:docPartObj>
    </w:sdtPr>
    <w:sdtEndPr>
      <w:rPr>
        <w:noProof/>
      </w:rPr>
    </w:sdtEndPr>
    <w:sdtContent>
      <w:p w:rsidR="001D01CA" w:rsidRDefault="001D01CA">
        <w:pPr>
          <w:pStyle w:val="Footer"/>
          <w:jc w:val="center"/>
        </w:pPr>
        <w:r>
          <w:fldChar w:fldCharType="begin"/>
        </w:r>
        <w:r>
          <w:instrText xml:space="preserve"> PAGE   \* MERGEFORMAT </w:instrText>
        </w:r>
        <w:r>
          <w:fldChar w:fldCharType="separate"/>
        </w:r>
        <w:r w:rsidR="00095F40">
          <w:rPr>
            <w:noProof/>
          </w:rPr>
          <w:t>6</w:t>
        </w:r>
        <w:r>
          <w:rPr>
            <w:noProof/>
          </w:rPr>
          <w:fldChar w:fldCharType="end"/>
        </w:r>
      </w:p>
    </w:sdtContent>
  </w:sdt>
  <w:p w:rsidR="001D01CA" w:rsidRDefault="001D01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CA" w:rsidRDefault="001D01CA">
    <w:pPr>
      <w:pStyle w:val="Header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CA" w:rsidRDefault="001D01CA">
    <w:pPr>
      <w:pStyle w:val="Header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CA" w:rsidRDefault="001D01CA">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E6E" w:rsidRDefault="00952E6E">
      <w:r>
        <w:separator/>
      </w:r>
    </w:p>
  </w:footnote>
  <w:footnote w:type="continuationSeparator" w:id="0">
    <w:p w:rsidR="00952E6E" w:rsidRDefault="00952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433803"/>
      <w:docPartObj>
        <w:docPartGallery w:val="Page Numbers (Top of Page)"/>
        <w:docPartUnique/>
      </w:docPartObj>
    </w:sdtPr>
    <w:sdtEndPr>
      <w:rPr>
        <w:noProof/>
      </w:rPr>
    </w:sdtEndPr>
    <w:sdtContent>
      <w:p w:rsidR="001D01CA" w:rsidRDefault="001D01CA">
        <w:pPr>
          <w:pStyle w:val="Header"/>
          <w:jc w:val="center"/>
        </w:pPr>
        <w:r>
          <w:fldChar w:fldCharType="begin"/>
        </w:r>
        <w:r>
          <w:instrText xml:space="preserve"> PAGE   \* MERGEFORMAT </w:instrText>
        </w:r>
        <w:r>
          <w:fldChar w:fldCharType="separate"/>
        </w:r>
        <w:r w:rsidR="00095F40">
          <w:rPr>
            <w:noProof/>
          </w:rPr>
          <w:t>9</w:t>
        </w:r>
        <w:r>
          <w:rPr>
            <w:noProof/>
          </w:rPr>
          <w:fldChar w:fldCharType="end"/>
        </w:r>
      </w:p>
    </w:sdtContent>
  </w:sdt>
  <w:p w:rsidR="001D01CA" w:rsidRDefault="001D01CA">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CA" w:rsidRDefault="001D01CA">
    <w:pPr>
      <w:pStyle w:val="HeaderFoo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CA" w:rsidRDefault="001D01CA">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066A8"/>
    <w:multiLevelType w:val="hybridMultilevel"/>
    <w:tmpl w:val="9516D0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42D1275"/>
    <w:multiLevelType w:val="hybridMultilevel"/>
    <w:tmpl w:val="2ACE666A"/>
    <w:lvl w:ilvl="0" w:tplc="A0243644">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05F68E0"/>
    <w:multiLevelType w:val="hybridMultilevel"/>
    <w:tmpl w:val="2D462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0F4B23"/>
    <w:multiLevelType w:val="hybridMultilevel"/>
    <w:tmpl w:val="9B80E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9F21F9"/>
    <w:multiLevelType w:val="hybridMultilevel"/>
    <w:tmpl w:val="2D462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A7"/>
    <w:rsid w:val="00002048"/>
    <w:rsid w:val="000045F3"/>
    <w:rsid w:val="0001117C"/>
    <w:rsid w:val="000128E7"/>
    <w:rsid w:val="00014D17"/>
    <w:rsid w:val="00021022"/>
    <w:rsid w:val="000218E4"/>
    <w:rsid w:val="00021A1D"/>
    <w:rsid w:val="0002520F"/>
    <w:rsid w:val="00027A3A"/>
    <w:rsid w:val="0003063E"/>
    <w:rsid w:val="00040BEA"/>
    <w:rsid w:val="00046686"/>
    <w:rsid w:val="0006307C"/>
    <w:rsid w:val="00066611"/>
    <w:rsid w:val="000715F4"/>
    <w:rsid w:val="0007447B"/>
    <w:rsid w:val="000772A1"/>
    <w:rsid w:val="000809C9"/>
    <w:rsid w:val="00081753"/>
    <w:rsid w:val="000822A4"/>
    <w:rsid w:val="00087FD1"/>
    <w:rsid w:val="000934FF"/>
    <w:rsid w:val="00095F40"/>
    <w:rsid w:val="000A0026"/>
    <w:rsid w:val="000A2F9A"/>
    <w:rsid w:val="000A3D04"/>
    <w:rsid w:val="000B364E"/>
    <w:rsid w:val="000B7014"/>
    <w:rsid w:val="000B7EA1"/>
    <w:rsid w:val="000D220A"/>
    <w:rsid w:val="000E1721"/>
    <w:rsid w:val="000E4F9F"/>
    <w:rsid w:val="000E563D"/>
    <w:rsid w:val="000E5E36"/>
    <w:rsid w:val="000F050C"/>
    <w:rsid w:val="000F3E91"/>
    <w:rsid w:val="00100B12"/>
    <w:rsid w:val="00100CD5"/>
    <w:rsid w:val="00101CD3"/>
    <w:rsid w:val="00101E16"/>
    <w:rsid w:val="00106241"/>
    <w:rsid w:val="00107FC0"/>
    <w:rsid w:val="00113985"/>
    <w:rsid w:val="00113BC8"/>
    <w:rsid w:val="0011760A"/>
    <w:rsid w:val="0012057B"/>
    <w:rsid w:val="00121E29"/>
    <w:rsid w:val="001236A1"/>
    <w:rsid w:val="00123BF5"/>
    <w:rsid w:val="001246B8"/>
    <w:rsid w:val="00124B13"/>
    <w:rsid w:val="00125ABF"/>
    <w:rsid w:val="00131130"/>
    <w:rsid w:val="001609DE"/>
    <w:rsid w:val="00160E11"/>
    <w:rsid w:val="00165BB0"/>
    <w:rsid w:val="001661BF"/>
    <w:rsid w:val="001703CD"/>
    <w:rsid w:val="001705D4"/>
    <w:rsid w:val="00182182"/>
    <w:rsid w:val="00185220"/>
    <w:rsid w:val="00186534"/>
    <w:rsid w:val="00187415"/>
    <w:rsid w:val="00194183"/>
    <w:rsid w:val="0019730C"/>
    <w:rsid w:val="001A7BD7"/>
    <w:rsid w:val="001B7B18"/>
    <w:rsid w:val="001C0F40"/>
    <w:rsid w:val="001C5D0C"/>
    <w:rsid w:val="001C6138"/>
    <w:rsid w:val="001C648D"/>
    <w:rsid w:val="001C6941"/>
    <w:rsid w:val="001D01CA"/>
    <w:rsid w:val="001D1984"/>
    <w:rsid w:val="001E1909"/>
    <w:rsid w:val="001E51F8"/>
    <w:rsid w:val="001E6D3D"/>
    <w:rsid w:val="001F2B4E"/>
    <w:rsid w:val="001F4D0A"/>
    <w:rsid w:val="001F6C1E"/>
    <w:rsid w:val="0020142A"/>
    <w:rsid w:val="00201678"/>
    <w:rsid w:val="002025B2"/>
    <w:rsid w:val="00203A9D"/>
    <w:rsid w:val="00206999"/>
    <w:rsid w:val="00206DFF"/>
    <w:rsid w:val="002206B5"/>
    <w:rsid w:val="0022089F"/>
    <w:rsid w:val="00220CF8"/>
    <w:rsid w:val="002244E1"/>
    <w:rsid w:val="002252A5"/>
    <w:rsid w:val="00225DD5"/>
    <w:rsid w:val="00226C5D"/>
    <w:rsid w:val="002340AC"/>
    <w:rsid w:val="0023665A"/>
    <w:rsid w:val="0023722C"/>
    <w:rsid w:val="00237E03"/>
    <w:rsid w:val="0024061F"/>
    <w:rsid w:val="00242637"/>
    <w:rsid w:val="00243711"/>
    <w:rsid w:val="00252821"/>
    <w:rsid w:val="002542B7"/>
    <w:rsid w:val="00257885"/>
    <w:rsid w:val="00263796"/>
    <w:rsid w:val="00264880"/>
    <w:rsid w:val="00274C13"/>
    <w:rsid w:val="00275E26"/>
    <w:rsid w:val="00280587"/>
    <w:rsid w:val="00290E40"/>
    <w:rsid w:val="002A1A93"/>
    <w:rsid w:val="002A6EEE"/>
    <w:rsid w:val="002B4319"/>
    <w:rsid w:val="002C0587"/>
    <w:rsid w:val="002C07B3"/>
    <w:rsid w:val="002C1D3D"/>
    <w:rsid w:val="002C236A"/>
    <w:rsid w:val="002C77AD"/>
    <w:rsid w:val="002D13F1"/>
    <w:rsid w:val="002D1C09"/>
    <w:rsid w:val="002D46BA"/>
    <w:rsid w:val="002E03B4"/>
    <w:rsid w:val="002E16B1"/>
    <w:rsid w:val="002E5A48"/>
    <w:rsid w:val="002F27D2"/>
    <w:rsid w:val="00301A7D"/>
    <w:rsid w:val="0030284D"/>
    <w:rsid w:val="00302ADF"/>
    <w:rsid w:val="00303070"/>
    <w:rsid w:val="00307831"/>
    <w:rsid w:val="00312463"/>
    <w:rsid w:val="003153ED"/>
    <w:rsid w:val="00315DD7"/>
    <w:rsid w:val="003235CB"/>
    <w:rsid w:val="00331CE8"/>
    <w:rsid w:val="00340579"/>
    <w:rsid w:val="00340A53"/>
    <w:rsid w:val="0034312C"/>
    <w:rsid w:val="00346D50"/>
    <w:rsid w:val="0036154F"/>
    <w:rsid w:val="0036248A"/>
    <w:rsid w:val="00372448"/>
    <w:rsid w:val="00376423"/>
    <w:rsid w:val="00376610"/>
    <w:rsid w:val="003803A0"/>
    <w:rsid w:val="00383AC8"/>
    <w:rsid w:val="0038456B"/>
    <w:rsid w:val="00385D63"/>
    <w:rsid w:val="003933EB"/>
    <w:rsid w:val="003947CD"/>
    <w:rsid w:val="00394FA7"/>
    <w:rsid w:val="0039728B"/>
    <w:rsid w:val="003A20E5"/>
    <w:rsid w:val="003A2D5B"/>
    <w:rsid w:val="003A56DB"/>
    <w:rsid w:val="003B20E1"/>
    <w:rsid w:val="003B3113"/>
    <w:rsid w:val="003B42F8"/>
    <w:rsid w:val="003B74DF"/>
    <w:rsid w:val="003C02A9"/>
    <w:rsid w:val="003C46B5"/>
    <w:rsid w:val="003D0C24"/>
    <w:rsid w:val="003D2A51"/>
    <w:rsid w:val="003D3455"/>
    <w:rsid w:val="003D47B1"/>
    <w:rsid w:val="003D5B6D"/>
    <w:rsid w:val="003D6428"/>
    <w:rsid w:val="003F0AE9"/>
    <w:rsid w:val="003F44FB"/>
    <w:rsid w:val="00402070"/>
    <w:rsid w:val="004044E8"/>
    <w:rsid w:val="004230B4"/>
    <w:rsid w:val="004264EB"/>
    <w:rsid w:val="00427D13"/>
    <w:rsid w:val="004308B8"/>
    <w:rsid w:val="00432C30"/>
    <w:rsid w:val="004337E6"/>
    <w:rsid w:val="00434120"/>
    <w:rsid w:val="00437F13"/>
    <w:rsid w:val="00445A37"/>
    <w:rsid w:val="004479E1"/>
    <w:rsid w:val="0045649C"/>
    <w:rsid w:val="00461847"/>
    <w:rsid w:val="004642E7"/>
    <w:rsid w:val="00473971"/>
    <w:rsid w:val="0047578C"/>
    <w:rsid w:val="00477362"/>
    <w:rsid w:val="004779C6"/>
    <w:rsid w:val="00492682"/>
    <w:rsid w:val="0049325E"/>
    <w:rsid w:val="00494BA9"/>
    <w:rsid w:val="004961DE"/>
    <w:rsid w:val="004A28A7"/>
    <w:rsid w:val="004A2938"/>
    <w:rsid w:val="004B3FAF"/>
    <w:rsid w:val="004C7816"/>
    <w:rsid w:val="004D018D"/>
    <w:rsid w:val="004E0F5F"/>
    <w:rsid w:val="004E7604"/>
    <w:rsid w:val="004F03DD"/>
    <w:rsid w:val="004F7B95"/>
    <w:rsid w:val="0051185D"/>
    <w:rsid w:val="00515E41"/>
    <w:rsid w:val="00517CE9"/>
    <w:rsid w:val="0052434B"/>
    <w:rsid w:val="0053225E"/>
    <w:rsid w:val="005327F5"/>
    <w:rsid w:val="00535CB3"/>
    <w:rsid w:val="005378DA"/>
    <w:rsid w:val="00545382"/>
    <w:rsid w:val="0055316D"/>
    <w:rsid w:val="00561717"/>
    <w:rsid w:val="00564434"/>
    <w:rsid w:val="0056797D"/>
    <w:rsid w:val="005852B8"/>
    <w:rsid w:val="005927D0"/>
    <w:rsid w:val="005941B6"/>
    <w:rsid w:val="005A3BFA"/>
    <w:rsid w:val="005A6BE4"/>
    <w:rsid w:val="005B1DFB"/>
    <w:rsid w:val="005C0B89"/>
    <w:rsid w:val="005C2573"/>
    <w:rsid w:val="005C2A57"/>
    <w:rsid w:val="005C3003"/>
    <w:rsid w:val="005C42D3"/>
    <w:rsid w:val="005C5AA0"/>
    <w:rsid w:val="005C75D7"/>
    <w:rsid w:val="005D2FF0"/>
    <w:rsid w:val="005D3A2D"/>
    <w:rsid w:val="005D6C1A"/>
    <w:rsid w:val="005F2EB5"/>
    <w:rsid w:val="005F56B7"/>
    <w:rsid w:val="005F5A06"/>
    <w:rsid w:val="005F76D8"/>
    <w:rsid w:val="006029C1"/>
    <w:rsid w:val="00617BE2"/>
    <w:rsid w:val="00621816"/>
    <w:rsid w:val="0063601F"/>
    <w:rsid w:val="006369E4"/>
    <w:rsid w:val="006458F0"/>
    <w:rsid w:val="0064598E"/>
    <w:rsid w:val="00646D41"/>
    <w:rsid w:val="006518E6"/>
    <w:rsid w:val="006526C5"/>
    <w:rsid w:val="00656E22"/>
    <w:rsid w:val="00657DD4"/>
    <w:rsid w:val="006615F9"/>
    <w:rsid w:val="00662DC7"/>
    <w:rsid w:val="00662E19"/>
    <w:rsid w:val="0066666C"/>
    <w:rsid w:val="006728B9"/>
    <w:rsid w:val="00673057"/>
    <w:rsid w:val="00683FE3"/>
    <w:rsid w:val="006871BF"/>
    <w:rsid w:val="006920D2"/>
    <w:rsid w:val="00692B0D"/>
    <w:rsid w:val="006931A3"/>
    <w:rsid w:val="006A0C75"/>
    <w:rsid w:val="006A364F"/>
    <w:rsid w:val="006A6734"/>
    <w:rsid w:val="006B53F2"/>
    <w:rsid w:val="006B7DF2"/>
    <w:rsid w:val="006C3572"/>
    <w:rsid w:val="006C7AC5"/>
    <w:rsid w:val="006C7C52"/>
    <w:rsid w:val="006D3C34"/>
    <w:rsid w:val="006E04E6"/>
    <w:rsid w:val="006E4AA7"/>
    <w:rsid w:val="006E4B48"/>
    <w:rsid w:val="006E7274"/>
    <w:rsid w:val="00701432"/>
    <w:rsid w:val="007025C8"/>
    <w:rsid w:val="00704FEC"/>
    <w:rsid w:val="00707CC8"/>
    <w:rsid w:val="00713E17"/>
    <w:rsid w:val="00720D38"/>
    <w:rsid w:val="00721CC7"/>
    <w:rsid w:val="00724477"/>
    <w:rsid w:val="00724F54"/>
    <w:rsid w:val="00725ED8"/>
    <w:rsid w:val="00730C75"/>
    <w:rsid w:val="00731102"/>
    <w:rsid w:val="007313F2"/>
    <w:rsid w:val="007341B9"/>
    <w:rsid w:val="00741946"/>
    <w:rsid w:val="00741B3F"/>
    <w:rsid w:val="00743520"/>
    <w:rsid w:val="00752D10"/>
    <w:rsid w:val="00754784"/>
    <w:rsid w:val="00767B9C"/>
    <w:rsid w:val="00782A82"/>
    <w:rsid w:val="00792CFE"/>
    <w:rsid w:val="00795FB6"/>
    <w:rsid w:val="007A78BA"/>
    <w:rsid w:val="007B48A6"/>
    <w:rsid w:val="007B4FF6"/>
    <w:rsid w:val="007B5DB2"/>
    <w:rsid w:val="007C74D1"/>
    <w:rsid w:val="007D00A6"/>
    <w:rsid w:val="007D12AA"/>
    <w:rsid w:val="007E31AE"/>
    <w:rsid w:val="007E4C5B"/>
    <w:rsid w:val="007F2A81"/>
    <w:rsid w:val="007F7871"/>
    <w:rsid w:val="00815C0E"/>
    <w:rsid w:val="00823906"/>
    <w:rsid w:val="00826D44"/>
    <w:rsid w:val="008301C5"/>
    <w:rsid w:val="008313B6"/>
    <w:rsid w:val="00831E23"/>
    <w:rsid w:val="00843193"/>
    <w:rsid w:val="00846521"/>
    <w:rsid w:val="00850DBE"/>
    <w:rsid w:val="00857DE6"/>
    <w:rsid w:val="00861501"/>
    <w:rsid w:val="00865311"/>
    <w:rsid w:val="00882B03"/>
    <w:rsid w:val="00884423"/>
    <w:rsid w:val="00887644"/>
    <w:rsid w:val="008A019A"/>
    <w:rsid w:val="008A2FD0"/>
    <w:rsid w:val="008A7674"/>
    <w:rsid w:val="008B0D05"/>
    <w:rsid w:val="008B1E40"/>
    <w:rsid w:val="008B64EB"/>
    <w:rsid w:val="008D06BE"/>
    <w:rsid w:val="008E7410"/>
    <w:rsid w:val="008F02A7"/>
    <w:rsid w:val="008F25A9"/>
    <w:rsid w:val="008F25DF"/>
    <w:rsid w:val="008F6759"/>
    <w:rsid w:val="008F7FCD"/>
    <w:rsid w:val="00911F6E"/>
    <w:rsid w:val="009123D3"/>
    <w:rsid w:val="00916D6C"/>
    <w:rsid w:val="00923571"/>
    <w:rsid w:val="00932BEC"/>
    <w:rsid w:val="00933CFD"/>
    <w:rsid w:val="00935BEE"/>
    <w:rsid w:val="00936C88"/>
    <w:rsid w:val="00941138"/>
    <w:rsid w:val="009454BF"/>
    <w:rsid w:val="00946B4F"/>
    <w:rsid w:val="009514A3"/>
    <w:rsid w:val="00952E6E"/>
    <w:rsid w:val="00956E58"/>
    <w:rsid w:val="00957787"/>
    <w:rsid w:val="009618CE"/>
    <w:rsid w:val="00962FEA"/>
    <w:rsid w:val="00970D3E"/>
    <w:rsid w:val="00970F0C"/>
    <w:rsid w:val="00975EE6"/>
    <w:rsid w:val="00985B46"/>
    <w:rsid w:val="00990A7F"/>
    <w:rsid w:val="00991FA5"/>
    <w:rsid w:val="009939F5"/>
    <w:rsid w:val="009965EC"/>
    <w:rsid w:val="009A0C59"/>
    <w:rsid w:val="009A16BD"/>
    <w:rsid w:val="009A20B8"/>
    <w:rsid w:val="009B1982"/>
    <w:rsid w:val="009B3919"/>
    <w:rsid w:val="009B497A"/>
    <w:rsid w:val="009C1BAF"/>
    <w:rsid w:val="009C74CF"/>
    <w:rsid w:val="009C7EEE"/>
    <w:rsid w:val="009C7F6F"/>
    <w:rsid w:val="009D398F"/>
    <w:rsid w:val="009E627D"/>
    <w:rsid w:val="009F00AC"/>
    <w:rsid w:val="009F3075"/>
    <w:rsid w:val="009F3713"/>
    <w:rsid w:val="009F3EDB"/>
    <w:rsid w:val="00A00E17"/>
    <w:rsid w:val="00A00EFF"/>
    <w:rsid w:val="00A104C4"/>
    <w:rsid w:val="00A15DCD"/>
    <w:rsid w:val="00A21A4A"/>
    <w:rsid w:val="00A24F3E"/>
    <w:rsid w:val="00A2564A"/>
    <w:rsid w:val="00A261D3"/>
    <w:rsid w:val="00A26C74"/>
    <w:rsid w:val="00A3140D"/>
    <w:rsid w:val="00A3484F"/>
    <w:rsid w:val="00A374FE"/>
    <w:rsid w:val="00A414DB"/>
    <w:rsid w:val="00A4219F"/>
    <w:rsid w:val="00A4401F"/>
    <w:rsid w:val="00A51851"/>
    <w:rsid w:val="00A57357"/>
    <w:rsid w:val="00A638CA"/>
    <w:rsid w:val="00A64EDD"/>
    <w:rsid w:val="00A6727E"/>
    <w:rsid w:val="00A673C7"/>
    <w:rsid w:val="00A701E3"/>
    <w:rsid w:val="00A70FF8"/>
    <w:rsid w:val="00A71766"/>
    <w:rsid w:val="00A801F0"/>
    <w:rsid w:val="00A8193A"/>
    <w:rsid w:val="00A8242A"/>
    <w:rsid w:val="00A84822"/>
    <w:rsid w:val="00A90C05"/>
    <w:rsid w:val="00A91A32"/>
    <w:rsid w:val="00AA5E0F"/>
    <w:rsid w:val="00AA79FC"/>
    <w:rsid w:val="00AB409B"/>
    <w:rsid w:val="00AB4F66"/>
    <w:rsid w:val="00AB7823"/>
    <w:rsid w:val="00AC3620"/>
    <w:rsid w:val="00AD3794"/>
    <w:rsid w:val="00AE5983"/>
    <w:rsid w:val="00AE775D"/>
    <w:rsid w:val="00AE783E"/>
    <w:rsid w:val="00AF10E7"/>
    <w:rsid w:val="00AF4D45"/>
    <w:rsid w:val="00AF588D"/>
    <w:rsid w:val="00AF59C8"/>
    <w:rsid w:val="00B04752"/>
    <w:rsid w:val="00B177C1"/>
    <w:rsid w:val="00B23497"/>
    <w:rsid w:val="00B260B7"/>
    <w:rsid w:val="00B40131"/>
    <w:rsid w:val="00B40157"/>
    <w:rsid w:val="00B42C93"/>
    <w:rsid w:val="00B7087F"/>
    <w:rsid w:val="00B71DD7"/>
    <w:rsid w:val="00B80F01"/>
    <w:rsid w:val="00B856FC"/>
    <w:rsid w:val="00B92CDD"/>
    <w:rsid w:val="00B95A07"/>
    <w:rsid w:val="00B9641D"/>
    <w:rsid w:val="00BA55DB"/>
    <w:rsid w:val="00BC326D"/>
    <w:rsid w:val="00BC68F5"/>
    <w:rsid w:val="00BC6F89"/>
    <w:rsid w:val="00BE5A0E"/>
    <w:rsid w:val="00BF649B"/>
    <w:rsid w:val="00C01619"/>
    <w:rsid w:val="00C1166C"/>
    <w:rsid w:val="00C11D98"/>
    <w:rsid w:val="00C1308C"/>
    <w:rsid w:val="00C1505D"/>
    <w:rsid w:val="00C15E67"/>
    <w:rsid w:val="00C16989"/>
    <w:rsid w:val="00C16B9A"/>
    <w:rsid w:val="00C23729"/>
    <w:rsid w:val="00C24B3A"/>
    <w:rsid w:val="00C25145"/>
    <w:rsid w:val="00C30C81"/>
    <w:rsid w:val="00C30FC1"/>
    <w:rsid w:val="00C31C7B"/>
    <w:rsid w:val="00C353A4"/>
    <w:rsid w:val="00C413C1"/>
    <w:rsid w:val="00C4637C"/>
    <w:rsid w:val="00C4688D"/>
    <w:rsid w:val="00C47027"/>
    <w:rsid w:val="00C47F50"/>
    <w:rsid w:val="00C521EF"/>
    <w:rsid w:val="00C55CB4"/>
    <w:rsid w:val="00C657B7"/>
    <w:rsid w:val="00C66CDC"/>
    <w:rsid w:val="00C71870"/>
    <w:rsid w:val="00C71DDA"/>
    <w:rsid w:val="00C72D72"/>
    <w:rsid w:val="00C75C6B"/>
    <w:rsid w:val="00C83F79"/>
    <w:rsid w:val="00C93F5E"/>
    <w:rsid w:val="00C94233"/>
    <w:rsid w:val="00C975FF"/>
    <w:rsid w:val="00CA1E29"/>
    <w:rsid w:val="00CA24AC"/>
    <w:rsid w:val="00CA7D76"/>
    <w:rsid w:val="00CB4586"/>
    <w:rsid w:val="00CB5549"/>
    <w:rsid w:val="00CB6E29"/>
    <w:rsid w:val="00CC2359"/>
    <w:rsid w:val="00CD2A5B"/>
    <w:rsid w:val="00CD51A2"/>
    <w:rsid w:val="00CE23A3"/>
    <w:rsid w:val="00CE3551"/>
    <w:rsid w:val="00CE3CDE"/>
    <w:rsid w:val="00CE495F"/>
    <w:rsid w:val="00CE6064"/>
    <w:rsid w:val="00CE6CDB"/>
    <w:rsid w:val="00CE7D23"/>
    <w:rsid w:val="00CF0A72"/>
    <w:rsid w:val="00CF2666"/>
    <w:rsid w:val="00D015A5"/>
    <w:rsid w:val="00D02C9E"/>
    <w:rsid w:val="00D05D8C"/>
    <w:rsid w:val="00D11DB4"/>
    <w:rsid w:val="00D1437C"/>
    <w:rsid w:val="00D20996"/>
    <w:rsid w:val="00D21E5A"/>
    <w:rsid w:val="00D24BB1"/>
    <w:rsid w:val="00D301F3"/>
    <w:rsid w:val="00D33DB0"/>
    <w:rsid w:val="00D512D9"/>
    <w:rsid w:val="00D51939"/>
    <w:rsid w:val="00D6000C"/>
    <w:rsid w:val="00D61C7A"/>
    <w:rsid w:val="00D66537"/>
    <w:rsid w:val="00D67443"/>
    <w:rsid w:val="00D7565A"/>
    <w:rsid w:val="00D77B9E"/>
    <w:rsid w:val="00D81683"/>
    <w:rsid w:val="00D904F4"/>
    <w:rsid w:val="00DA48F0"/>
    <w:rsid w:val="00DA663E"/>
    <w:rsid w:val="00DA7AA4"/>
    <w:rsid w:val="00DB0EF6"/>
    <w:rsid w:val="00DD20CF"/>
    <w:rsid w:val="00DD3063"/>
    <w:rsid w:val="00DD4CCE"/>
    <w:rsid w:val="00DE4115"/>
    <w:rsid w:val="00DE7F9A"/>
    <w:rsid w:val="00DF3281"/>
    <w:rsid w:val="00E01281"/>
    <w:rsid w:val="00E04901"/>
    <w:rsid w:val="00E04C01"/>
    <w:rsid w:val="00E07CA2"/>
    <w:rsid w:val="00E104FD"/>
    <w:rsid w:val="00E12010"/>
    <w:rsid w:val="00E2000E"/>
    <w:rsid w:val="00E22A5C"/>
    <w:rsid w:val="00E26026"/>
    <w:rsid w:val="00E300A0"/>
    <w:rsid w:val="00E3056A"/>
    <w:rsid w:val="00E33914"/>
    <w:rsid w:val="00E37E4D"/>
    <w:rsid w:val="00E41710"/>
    <w:rsid w:val="00E42DAC"/>
    <w:rsid w:val="00E430CB"/>
    <w:rsid w:val="00E445D5"/>
    <w:rsid w:val="00E449BA"/>
    <w:rsid w:val="00E45D8B"/>
    <w:rsid w:val="00E57CEE"/>
    <w:rsid w:val="00E65979"/>
    <w:rsid w:val="00E757C4"/>
    <w:rsid w:val="00E77715"/>
    <w:rsid w:val="00E822DA"/>
    <w:rsid w:val="00E87B0C"/>
    <w:rsid w:val="00E90070"/>
    <w:rsid w:val="00E929C8"/>
    <w:rsid w:val="00E93193"/>
    <w:rsid w:val="00E9390A"/>
    <w:rsid w:val="00E9499F"/>
    <w:rsid w:val="00EA1239"/>
    <w:rsid w:val="00EA64AE"/>
    <w:rsid w:val="00EA7F6E"/>
    <w:rsid w:val="00EB7DD5"/>
    <w:rsid w:val="00ED3FC0"/>
    <w:rsid w:val="00EE5576"/>
    <w:rsid w:val="00EE6BD0"/>
    <w:rsid w:val="00EE7654"/>
    <w:rsid w:val="00EF231C"/>
    <w:rsid w:val="00EF35B5"/>
    <w:rsid w:val="00EF64E5"/>
    <w:rsid w:val="00EF75CF"/>
    <w:rsid w:val="00F0207B"/>
    <w:rsid w:val="00F03B88"/>
    <w:rsid w:val="00F05E5A"/>
    <w:rsid w:val="00F10C44"/>
    <w:rsid w:val="00F12228"/>
    <w:rsid w:val="00F30838"/>
    <w:rsid w:val="00F35D6F"/>
    <w:rsid w:val="00F3658B"/>
    <w:rsid w:val="00F3758C"/>
    <w:rsid w:val="00F519A4"/>
    <w:rsid w:val="00F57340"/>
    <w:rsid w:val="00F61A7B"/>
    <w:rsid w:val="00F651C2"/>
    <w:rsid w:val="00F72786"/>
    <w:rsid w:val="00F742F5"/>
    <w:rsid w:val="00F80A6D"/>
    <w:rsid w:val="00F823D2"/>
    <w:rsid w:val="00F8524F"/>
    <w:rsid w:val="00F86272"/>
    <w:rsid w:val="00F91A39"/>
    <w:rsid w:val="00FA1B92"/>
    <w:rsid w:val="00FB0810"/>
    <w:rsid w:val="00FB0858"/>
    <w:rsid w:val="00FC44F5"/>
    <w:rsid w:val="00FC6C05"/>
    <w:rsid w:val="00FD461C"/>
    <w:rsid w:val="00FD4620"/>
    <w:rsid w:val="00FD5E89"/>
    <w:rsid w:val="00FE6579"/>
    <w:rsid w:val="00FE6F9E"/>
    <w:rsid w:val="00FF1B2C"/>
    <w:rsid w:val="00FF1DED"/>
    <w:rsid w:val="00FF40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663E9-2E55-477E-AAF5-62EDB5FC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NoSpacing">
    <w:name w:val="No Spacing"/>
    <w:link w:val="NoSpacingChar"/>
    <w:uiPriority w:val="1"/>
    <w:qFormat/>
    <w:rPr>
      <w:rFonts w:ascii="Trebuchet MS" w:hAnsi="Arial Unicode MS" w:cs="Arial Unicode MS"/>
      <w:color w:val="000000"/>
      <w:kern w:val="2"/>
      <w:sz w:val="22"/>
      <w:szCs w:val="22"/>
      <w:u w:color="000000"/>
      <w:lang w:val="en-US"/>
    </w:rPr>
  </w:style>
  <w:style w:type="character" w:customStyle="1" w:styleId="Link">
    <w:name w:val="Link"/>
    <w:rPr>
      <w:color w:val="0000FF"/>
      <w:u w:val="single" w:color="0000FF"/>
    </w:rPr>
  </w:style>
  <w:style w:type="character" w:customStyle="1" w:styleId="Hyperlink0">
    <w:name w:val="Hyperlink.0"/>
    <w:basedOn w:val="Link"/>
    <w:rPr>
      <w:color w:val="0000FF"/>
      <w:sz w:val="24"/>
      <w:szCs w:val="24"/>
      <w:u w:val="single" w:color="0000FF"/>
    </w:rPr>
  </w:style>
  <w:style w:type="character" w:customStyle="1" w:styleId="NoSpacingChar">
    <w:name w:val="No Spacing Char"/>
    <w:link w:val="NoSpacing"/>
    <w:uiPriority w:val="1"/>
    <w:rsid w:val="006920D2"/>
    <w:rPr>
      <w:rFonts w:ascii="Trebuchet MS" w:hAnsi="Arial Unicode MS" w:cs="Arial Unicode MS"/>
      <w:color w:val="000000"/>
      <w:kern w:val="2"/>
      <w:sz w:val="22"/>
      <w:szCs w:val="22"/>
      <w:u w:color="000000"/>
      <w:lang w:val="en-US"/>
    </w:rPr>
  </w:style>
  <w:style w:type="paragraph" w:styleId="Header">
    <w:name w:val="header"/>
    <w:basedOn w:val="Normal"/>
    <w:link w:val="HeaderChar"/>
    <w:uiPriority w:val="99"/>
    <w:unhideWhenUsed/>
    <w:rsid w:val="00FB0810"/>
    <w:pPr>
      <w:tabs>
        <w:tab w:val="center" w:pos="4680"/>
        <w:tab w:val="right" w:pos="9360"/>
      </w:tabs>
    </w:pPr>
  </w:style>
  <w:style w:type="character" w:customStyle="1" w:styleId="HeaderChar">
    <w:name w:val="Header Char"/>
    <w:basedOn w:val="DefaultParagraphFont"/>
    <w:link w:val="Header"/>
    <w:uiPriority w:val="99"/>
    <w:rsid w:val="00FB0810"/>
    <w:rPr>
      <w:sz w:val="24"/>
      <w:szCs w:val="24"/>
      <w:lang w:val="en-US" w:eastAsia="en-US"/>
    </w:rPr>
  </w:style>
  <w:style w:type="paragraph" w:styleId="Footer">
    <w:name w:val="footer"/>
    <w:basedOn w:val="Normal"/>
    <w:link w:val="FooterChar"/>
    <w:uiPriority w:val="99"/>
    <w:unhideWhenUsed/>
    <w:rsid w:val="00FB0810"/>
    <w:pPr>
      <w:tabs>
        <w:tab w:val="center" w:pos="4680"/>
        <w:tab w:val="right" w:pos="9360"/>
      </w:tabs>
    </w:pPr>
  </w:style>
  <w:style w:type="character" w:customStyle="1" w:styleId="FooterChar">
    <w:name w:val="Footer Char"/>
    <w:basedOn w:val="DefaultParagraphFont"/>
    <w:link w:val="Footer"/>
    <w:uiPriority w:val="99"/>
    <w:rsid w:val="00FB0810"/>
    <w:rPr>
      <w:sz w:val="24"/>
      <w:szCs w:val="24"/>
      <w:lang w:val="en-US" w:eastAsia="en-US"/>
    </w:rPr>
  </w:style>
  <w:style w:type="character" w:styleId="IntenseEmphasis">
    <w:name w:val="Intense Emphasis"/>
    <w:basedOn w:val="DefaultParagraphFont"/>
    <w:uiPriority w:val="21"/>
    <w:qFormat/>
    <w:rsid w:val="00EE765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555262">
      <w:bodyDiv w:val="1"/>
      <w:marLeft w:val="0"/>
      <w:marRight w:val="0"/>
      <w:marTop w:val="0"/>
      <w:marBottom w:val="0"/>
      <w:divBdr>
        <w:top w:val="none" w:sz="0" w:space="0" w:color="auto"/>
        <w:left w:val="none" w:sz="0" w:space="0" w:color="auto"/>
        <w:bottom w:val="none" w:sz="0" w:space="0" w:color="auto"/>
        <w:right w:val="none" w:sz="0" w:space="0" w:color="auto"/>
      </w:divBdr>
      <w:divsChild>
        <w:div w:id="1024290060">
          <w:marLeft w:val="0"/>
          <w:marRight w:val="0"/>
          <w:marTop w:val="0"/>
          <w:marBottom w:val="0"/>
          <w:divBdr>
            <w:top w:val="none" w:sz="0" w:space="0" w:color="auto"/>
            <w:left w:val="none" w:sz="0" w:space="0" w:color="auto"/>
            <w:bottom w:val="none" w:sz="0" w:space="0" w:color="auto"/>
            <w:right w:val="none" w:sz="0" w:space="0" w:color="auto"/>
          </w:divBdr>
        </w:div>
        <w:div w:id="452286902">
          <w:marLeft w:val="0"/>
          <w:marRight w:val="0"/>
          <w:marTop w:val="0"/>
          <w:marBottom w:val="0"/>
          <w:divBdr>
            <w:top w:val="none" w:sz="0" w:space="0" w:color="auto"/>
            <w:left w:val="none" w:sz="0" w:space="0" w:color="auto"/>
            <w:bottom w:val="none" w:sz="0" w:space="0" w:color="auto"/>
            <w:right w:val="none" w:sz="0" w:space="0" w:color="auto"/>
          </w:divBdr>
        </w:div>
        <w:div w:id="924614148">
          <w:marLeft w:val="0"/>
          <w:marRight w:val="0"/>
          <w:marTop w:val="0"/>
          <w:marBottom w:val="0"/>
          <w:divBdr>
            <w:top w:val="none" w:sz="0" w:space="0" w:color="auto"/>
            <w:left w:val="none" w:sz="0" w:space="0" w:color="auto"/>
            <w:bottom w:val="none" w:sz="0" w:space="0" w:color="auto"/>
            <w:right w:val="none" w:sz="0" w:space="0" w:color="auto"/>
          </w:divBdr>
        </w:div>
        <w:div w:id="295719214">
          <w:marLeft w:val="0"/>
          <w:marRight w:val="0"/>
          <w:marTop w:val="0"/>
          <w:marBottom w:val="0"/>
          <w:divBdr>
            <w:top w:val="none" w:sz="0" w:space="0" w:color="auto"/>
            <w:left w:val="none" w:sz="0" w:space="0" w:color="auto"/>
            <w:bottom w:val="none" w:sz="0" w:space="0" w:color="auto"/>
            <w:right w:val="none" w:sz="0" w:space="0" w:color="auto"/>
          </w:divBdr>
        </w:div>
        <w:div w:id="1758477894">
          <w:marLeft w:val="0"/>
          <w:marRight w:val="0"/>
          <w:marTop w:val="0"/>
          <w:marBottom w:val="0"/>
          <w:divBdr>
            <w:top w:val="none" w:sz="0" w:space="0" w:color="auto"/>
            <w:left w:val="none" w:sz="0" w:space="0" w:color="auto"/>
            <w:bottom w:val="none" w:sz="0" w:space="0" w:color="auto"/>
            <w:right w:val="none" w:sz="0" w:space="0" w:color="auto"/>
          </w:divBdr>
        </w:div>
      </w:divsChild>
    </w:div>
    <w:div w:id="1628394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tim@ait.edu.gh" TargetMode="External"/><Relationship Id="rId13" Type="http://schemas.openxmlformats.org/officeDocument/2006/relationships/hyperlink" Target="http://dx.doi.org/10.1023/B:JICT.0000047299.13443.5a" TargetMode="External"/><Relationship Id="rId18" Type="http://schemas.openxmlformats.org/officeDocument/2006/relationships/hyperlink" Target="http://dx.doi.org/10.1016/j.dss.2012.04.010"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dx.doi.org/10.1109/MNET.2003.1233913" TargetMode="External"/><Relationship Id="rId7" Type="http://schemas.openxmlformats.org/officeDocument/2006/relationships/hyperlink" Target="mailto:sim.ekomerce@gmail.com" TargetMode="External"/><Relationship Id="rId12" Type="http://schemas.openxmlformats.org/officeDocument/2006/relationships/hyperlink" Target="http://dx.doi.org/10.1080/14792779943000116" TargetMode="External"/><Relationship Id="rId17" Type="http://schemas.openxmlformats.org/officeDocument/2006/relationships/hyperlink" Target="http://dx.doi.org/10.1016/S0167-6245%2800%2900007-X"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dx.doi.org/10.1287/mnsc.35.8.982" TargetMode="External"/><Relationship Id="rId20" Type="http://schemas.openxmlformats.org/officeDocument/2006/relationships/hyperlink" Target="http://dx.doi.org/10.1016/S0378-7206%2801%2900143-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dx.doi.org/10.1108/09564239610129922" TargetMode="External"/><Relationship Id="rId23" Type="http://schemas.openxmlformats.org/officeDocument/2006/relationships/hyperlink" Target="http://dx.doi.org/10.1016/S0308-5961%2897%2900058-X"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dx.doi.org/10.1016/j.im.2003.10.00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dx.doi.org/10.1002/%28SICI%291520-6793%28199705%2914:3%3C241::AID-MAR3%3E3.0.CO;2-B" TargetMode="External"/><Relationship Id="rId22" Type="http://schemas.openxmlformats.org/officeDocument/2006/relationships/hyperlink" Target="http://nca.org.gh/downloads/MNP_at_2Years_Report_3rd_September_2013.pdf" TargetMode="Externa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8011</Words>
  <Characters>45669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 O V E L Y</dc:creator>
  <cp:lastModifiedBy>LOVELY</cp:lastModifiedBy>
  <cp:revision>4</cp:revision>
  <cp:lastPrinted>2015-07-22T13:46:00Z</cp:lastPrinted>
  <dcterms:created xsi:type="dcterms:W3CDTF">2016-03-10T06:52:00Z</dcterms:created>
  <dcterms:modified xsi:type="dcterms:W3CDTF">2016-03-10T06:53:00Z</dcterms:modified>
</cp:coreProperties>
</file>